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87C03" w14:textId="77777777" w:rsidR="004241AC" w:rsidRPr="002A3F14" w:rsidRDefault="0044199D" w:rsidP="004241AC">
      <w:pPr>
        <w:spacing w:after="0" w:line="240" w:lineRule="auto"/>
        <w:jc w:val="center"/>
        <w:rPr>
          <w:lang w:val="en-US"/>
        </w:rPr>
      </w:pPr>
      <w:r w:rsidRPr="004E3D2F">
        <w:rPr>
          <w:noProof/>
          <w:lang w:eastAsia="it-IT"/>
        </w:rPr>
        <w:drawing>
          <wp:inline distT="0" distB="0" distL="0" distR="0" wp14:anchorId="5081C099" wp14:editId="1CC69609">
            <wp:extent cx="2922557" cy="1108792"/>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38407" cy="1114805"/>
                    </a:xfrm>
                    <a:prstGeom prst="rect">
                      <a:avLst/>
                    </a:prstGeom>
                    <a:noFill/>
                    <a:ln w="9525">
                      <a:noFill/>
                      <a:miter lim="800000"/>
                      <a:headEnd/>
                      <a:tailEnd/>
                    </a:ln>
                  </pic:spPr>
                </pic:pic>
              </a:graphicData>
            </a:graphic>
          </wp:inline>
        </w:drawing>
      </w:r>
    </w:p>
    <w:p w14:paraId="6A4A40F3" w14:textId="77777777" w:rsidR="004241AC" w:rsidRDefault="004241AC" w:rsidP="004241AC">
      <w:pPr>
        <w:spacing w:after="0" w:line="240" w:lineRule="auto"/>
        <w:jc w:val="center"/>
        <w:rPr>
          <w:b/>
        </w:rPr>
      </w:pPr>
    </w:p>
    <w:p w14:paraId="3DAA9D84" w14:textId="77777777" w:rsidR="00823F4C" w:rsidRDefault="00823F4C" w:rsidP="00823F4C">
      <w:pPr>
        <w:spacing w:after="0" w:line="240" w:lineRule="auto"/>
        <w:jc w:val="center"/>
        <w:rPr>
          <w:b/>
          <w:sz w:val="28"/>
        </w:rPr>
      </w:pPr>
      <w:bookmarkStart w:id="0" w:name="Text15"/>
      <w:r>
        <w:rPr>
          <w:b/>
          <w:sz w:val="28"/>
        </w:rPr>
        <w:t>Relazione Pubblica di Valutazione</w:t>
      </w:r>
    </w:p>
    <w:p w14:paraId="5569B8BA" w14:textId="77777777" w:rsidR="004241AC" w:rsidRDefault="004241AC" w:rsidP="004241AC">
      <w:pPr>
        <w:autoSpaceDE w:val="0"/>
        <w:autoSpaceDN w:val="0"/>
        <w:adjustRightInd w:val="0"/>
        <w:spacing w:after="0" w:line="240" w:lineRule="auto"/>
        <w:jc w:val="center"/>
        <w:rPr>
          <w:b/>
          <w:highlight w:val="yellow"/>
        </w:rPr>
      </w:pPr>
    </w:p>
    <w:p w14:paraId="53E0A75D" w14:textId="77777777" w:rsidR="00823F4C" w:rsidRDefault="00823F4C" w:rsidP="004241AC">
      <w:pPr>
        <w:autoSpaceDE w:val="0"/>
        <w:autoSpaceDN w:val="0"/>
        <w:adjustRightInd w:val="0"/>
        <w:spacing w:after="0" w:line="240" w:lineRule="auto"/>
        <w:jc w:val="center"/>
        <w:rPr>
          <w:b/>
          <w:highlight w:val="yellow"/>
        </w:rPr>
      </w:pPr>
    </w:p>
    <w:p w14:paraId="6C8174EC" w14:textId="77777777" w:rsidR="004609F8" w:rsidRDefault="004609F8" w:rsidP="004241AC">
      <w:pPr>
        <w:autoSpaceDE w:val="0"/>
        <w:autoSpaceDN w:val="0"/>
        <w:adjustRightInd w:val="0"/>
        <w:spacing w:after="0" w:line="240" w:lineRule="auto"/>
        <w:jc w:val="center"/>
        <w:rPr>
          <w:b/>
          <w:highlight w:val="yellow"/>
        </w:rPr>
      </w:pPr>
    </w:p>
    <w:p w14:paraId="3D6F6F48" w14:textId="1DCC31BB" w:rsidR="00BF7A42" w:rsidRDefault="00A57CE8" w:rsidP="004241AC">
      <w:pPr>
        <w:widowControl w:val="0"/>
        <w:spacing w:after="0" w:line="240" w:lineRule="auto"/>
        <w:jc w:val="center"/>
        <w:rPr>
          <w:b/>
          <w:sz w:val="32"/>
        </w:rPr>
      </w:pPr>
      <w:r>
        <w:rPr>
          <w:b/>
          <w:sz w:val="32"/>
        </w:rPr>
        <w:t>GANCICLOVIR MEDAC</w:t>
      </w:r>
    </w:p>
    <w:p w14:paraId="770CE635" w14:textId="77777777" w:rsidR="004609F8" w:rsidRDefault="004609F8" w:rsidP="004241AC">
      <w:pPr>
        <w:widowControl w:val="0"/>
        <w:spacing w:after="0" w:line="240" w:lineRule="auto"/>
        <w:jc w:val="center"/>
        <w:rPr>
          <w:snapToGrid w:val="0"/>
        </w:rPr>
      </w:pPr>
    </w:p>
    <w:p w14:paraId="44E88347" w14:textId="2452AF42" w:rsidR="004241AC" w:rsidRPr="00A966D1" w:rsidRDefault="004241AC" w:rsidP="004241AC">
      <w:pPr>
        <w:widowControl w:val="0"/>
        <w:spacing w:after="0" w:line="240" w:lineRule="auto"/>
        <w:jc w:val="center"/>
        <w:rPr>
          <w:snapToGrid w:val="0"/>
        </w:rPr>
      </w:pPr>
      <w:r w:rsidRPr="00A966D1">
        <w:rPr>
          <w:snapToGrid w:val="0"/>
        </w:rPr>
        <w:t xml:space="preserve"> (</w:t>
      </w:r>
      <w:proofErr w:type="spellStart"/>
      <w:r w:rsidR="00A57CE8">
        <w:rPr>
          <w:snapToGrid w:val="0"/>
        </w:rPr>
        <w:t>Gancinclovir</w:t>
      </w:r>
      <w:proofErr w:type="spellEnd"/>
      <w:r w:rsidRPr="00A966D1">
        <w:rPr>
          <w:snapToGrid w:val="0"/>
        </w:rPr>
        <w:t>)</w:t>
      </w:r>
    </w:p>
    <w:p w14:paraId="270116BB" w14:textId="77777777" w:rsidR="004241AC" w:rsidRDefault="004241AC" w:rsidP="004241AC">
      <w:pPr>
        <w:autoSpaceDE w:val="0"/>
        <w:autoSpaceDN w:val="0"/>
        <w:adjustRightInd w:val="0"/>
        <w:spacing w:after="0" w:line="240" w:lineRule="auto"/>
        <w:jc w:val="center"/>
        <w:rPr>
          <w:b/>
        </w:rPr>
      </w:pPr>
    </w:p>
    <w:p w14:paraId="6FD1D8E6" w14:textId="77777777" w:rsidR="004609F8" w:rsidRPr="00A966D1" w:rsidRDefault="004609F8" w:rsidP="004241AC">
      <w:pPr>
        <w:autoSpaceDE w:val="0"/>
        <w:autoSpaceDN w:val="0"/>
        <w:adjustRightInd w:val="0"/>
        <w:spacing w:after="0" w:line="240" w:lineRule="auto"/>
        <w:jc w:val="center"/>
        <w:rPr>
          <w:b/>
        </w:rPr>
      </w:pPr>
    </w:p>
    <w:p w14:paraId="607AEF02" w14:textId="3B0C09D4" w:rsidR="00797416" w:rsidRPr="00FD7FBB" w:rsidRDefault="00A57CE8" w:rsidP="004241AC">
      <w:pPr>
        <w:spacing w:after="0" w:line="240" w:lineRule="auto"/>
        <w:jc w:val="center"/>
        <w:rPr>
          <w:b/>
        </w:rPr>
      </w:pPr>
      <w:proofErr w:type="spellStart"/>
      <w:r>
        <w:rPr>
          <w:b/>
        </w:rPr>
        <w:t>Medac</w:t>
      </w:r>
      <w:proofErr w:type="spellEnd"/>
      <w:r>
        <w:rPr>
          <w:b/>
        </w:rPr>
        <w:t xml:space="preserve"> </w:t>
      </w:r>
      <w:proofErr w:type="spellStart"/>
      <w:r>
        <w:rPr>
          <w:b/>
        </w:rPr>
        <w:t>Pharma</w:t>
      </w:r>
      <w:proofErr w:type="spellEnd"/>
      <w:r>
        <w:rPr>
          <w:b/>
        </w:rPr>
        <w:t xml:space="preserve"> S.r.l</w:t>
      </w:r>
    </w:p>
    <w:p w14:paraId="672FF884" w14:textId="77777777" w:rsidR="00EC3589" w:rsidRPr="00FD7FBB" w:rsidRDefault="00BF7A42" w:rsidP="004241AC">
      <w:pPr>
        <w:spacing w:after="0" w:line="240" w:lineRule="auto"/>
        <w:jc w:val="center"/>
        <w:rPr>
          <w:b/>
        </w:rPr>
      </w:pPr>
      <w:r w:rsidRPr="00FD7FBB">
        <w:rPr>
          <w:b/>
        </w:rPr>
        <w:t xml:space="preserve"> </w:t>
      </w:r>
    </w:p>
    <w:p w14:paraId="365DC329" w14:textId="77777777" w:rsidR="004609F8" w:rsidRPr="00FD7FBB" w:rsidRDefault="004609F8" w:rsidP="004241AC">
      <w:pPr>
        <w:spacing w:after="0" w:line="240" w:lineRule="auto"/>
        <w:jc w:val="center"/>
        <w:rPr>
          <w:b/>
        </w:rPr>
      </w:pPr>
    </w:p>
    <w:p w14:paraId="4614C241" w14:textId="7A225F8D" w:rsidR="004241AC" w:rsidRDefault="004241AC" w:rsidP="004241AC">
      <w:pPr>
        <w:spacing w:after="0" w:line="240" w:lineRule="auto"/>
        <w:jc w:val="center"/>
        <w:rPr>
          <w:rFonts w:cs="Helvetica"/>
          <w:b/>
        </w:rPr>
      </w:pPr>
      <w:r w:rsidRPr="00062636">
        <w:rPr>
          <w:b/>
        </w:rPr>
        <w:t xml:space="preserve">Numero di AIC: </w:t>
      </w:r>
      <w:r w:rsidR="00A57CE8" w:rsidRPr="00A57CE8">
        <w:rPr>
          <w:b/>
        </w:rPr>
        <w:t>047414</w:t>
      </w:r>
    </w:p>
    <w:p w14:paraId="256D0098" w14:textId="77777777" w:rsidR="00797416" w:rsidRPr="00062636" w:rsidRDefault="00797416" w:rsidP="004241AC">
      <w:pPr>
        <w:spacing w:after="0" w:line="240" w:lineRule="auto"/>
        <w:jc w:val="center"/>
        <w:rPr>
          <w:b/>
        </w:rPr>
      </w:pPr>
    </w:p>
    <w:bookmarkEnd w:id="0"/>
    <w:p w14:paraId="61BC9DE9" w14:textId="77777777" w:rsidR="004241AC" w:rsidRDefault="004241AC" w:rsidP="004241AC">
      <w:pPr>
        <w:spacing w:after="0" w:line="240" w:lineRule="auto"/>
        <w:jc w:val="center"/>
        <w:rPr>
          <w:b/>
        </w:rPr>
      </w:pPr>
    </w:p>
    <w:p w14:paraId="1C02D38E" w14:textId="77777777" w:rsidR="004E5A39" w:rsidRPr="00062636" w:rsidRDefault="004E5A39" w:rsidP="004241AC">
      <w:pPr>
        <w:spacing w:after="0" w:line="240" w:lineRule="auto"/>
        <w:jc w:val="center"/>
        <w:rPr>
          <w:b/>
        </w:rPr>
      </w:pPr>
    </w:p>
    <w:p w14:paraId="337AB53F"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0587F061"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4B1D7F72" w14:textId="035940D2" w:rsidR="00BB2AF8" w:rsidRPr="00752998" w:rsidRDefault="00BB2AF8" w:rsidP="00BB2AF8">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p>
    <w:p w14:paraId="45AF19D2" w14:textId="503B353C"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6C79F0">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697E6C39"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320AA5DE"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5D8A0359" w14:textId="6ECD0032"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1) CHE COS’È</w:t>
      </w:r>
      <w:r w:rsidR="00020D88">
        <w:rPr>
          <w:rFonts w:eastAsia="Calibri" w:cs="Calibri"/>
          <w:b/>
          <w:bCs/>
          <w:color w:val="000000"/>
          <w:lang w:eastAsia="it-IT"/>
        </w:rPr>
        <w:t xml:space="preserve"> </w:t>
      </w:r>
      <w:r w:rsidR="00A57CE8">
        <w:rPr>
          <w:rFonts w:eastAsia="Calibri" w:cs="Calibri"/>
          <w:b/>
          <w:bCs/>
          <w:color w:val="000000"/>
          <w:lang w:eastAsia="it-IT"/>
        </w:rPr>
        <w:t>GANCICLOVIR MEDAC</w:t>
      </w:r>
      <w:r w:rsidR="006C79F0">
        <w:rPr>
          <w:rFonts w:eastAsia="Calibri" w:cs="Calibri"/>
          <w:b/>
          <w:bCs/>
          <w:color w:val="000000"/>
          <w:lang w:eastAsia="it-IT"/>
        </w:rPr>
        <w:t xml:space="preserve"> </w:t>
      </w:r>
      <w:r w:rsidRPr="00797416">
        <w:rPr>
          <w:rFonts w:eastAsia="Calibri" w:cs="Calibri"/>
          <w:b/>
          <w:bCs/>
          <w:color w:val="000000"/>
          <w:lang w:eastAsia="it-IT"/>
        </w:rPr>
        <w:t xml:space="preserve">E A COSA SERVE? </w:t>
      </w:r>
    </w:p>
    <w:p w14:paraId="6B5DFCBB" w14:textId="507503FC" w:rsidR="00797416" w:rsidRDefault="00A57CE8" w:rsidP="00BB2AF8">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D6309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AB541A">
        <w:rPr>
          <w:rFonts w:eastAsia="Calibri" w:cs="Calibri"/>
          <w:color w:val="000000"/>
          <w:lang w:eastAsia="it-IT"/>
        </w:rPr>
        <w:t xml:space="preserve"> </w:t>
      </w:r>
      <w:proofErr w:type="spellStart"/>
      <w:r w:rsidR="00732396">
        <w:rPr>
          <w:rFonts w:eastAsia="Calibri" w:cs="Calibri"/>
          <w:color w:val="000000"/>
          <w:lang w:eastAsia="it-IT"/>
        </w:rPr>
        <w:t>gancinclovir</w:t>
      </w:r>
      <w:proofErr w:type="spellEnd"/>
      <w:r w:rsidR="00732396">
        <w:rPr>
          <w:rFonts w:eastAsia="Calibri" w:cs="Calibri"/>
          <w:color w:val="000000"/>
          <w:lang w:eastAsia="it-IT"/>
        </w:rPr>
        <w:t xml:space="preserve"> </w:t>
      </w:r>
      <w:r w:rsidR="00BB2AF8">
        <w:rPr>
          <w:rFonts w:eastAsia="Calibri" w:cs="Calibri"/>
          <w:color w:val="000000"/>
          <w:lang w:eastAsia="it-IT"/>
        </w:rPr>
        <w:t xml:space="preserve">ed </w:t>
      </w:r>
      <w:r w:rsidR="00020D88">
        <w:rPr>
          <w:rFonts w:eastAsia="Calibri" w:cs="Calibri"/>
          <w:color w:val="000000"/>
          <w:lang w:eastAsia="it-IT"/>
        </w:rPr>
        <w:t>è disponibile come</w:t>
      </w:r>
      <w:r w:rsidR="00D63096">
        <w:rPr>
          <w:rFonts w:eastAsia="Calibri" w:cs="Calibri"/>
          <w:color w:val="000000"/>
          <w:lang w:eastAsia="it-IT"/>
        </w:rPr>
        <w:t xml:space="preserve"> </w:t>
      </w:r>
      <w:r w:rsidR="00732396">
        <w:rPr>
          <w:rFonts w:eastAsia="Calibri" w:cs="Calibri"/>
          <w:color w:val="000000"/>
          <w:lang w:eastAsia="it-IT"/>
        </w:rPr>
        <w:t xml:space="preserve">concentrato per soluzione per infusione </w:t>
      </w:r>
      <w:r w:rsidR="00D63096">
        <w:rPr>
          <w:rFonts w:eastAsia="Calibri" w:cs="Calibri"/>
          <w:color w:val="000000"/>
          <w:lang w:eastAsia="it-IT"/>
        </w:rPr>
        <w:t xml:space="preserve">contenente </w:t>
      </w:r>
      <w:r w:rsidR="00FA2398">
        <w:rPr>
          <w:rFonts w:eastAsia="Calibri" w:cs="Calibri"/>
          <w:color w:val="000000"/>
          <w:lang w:eastAsia="it-IT"/>
        </w:rPr>
        <w:t xml:space="preserve">il </w:t>
      </w:r>
      <w:r w:rsidR="00797416">
        <w:rPr>
          <w:rFonts w:eastAsia="Calibri" w:cs="Calibri"/>
          <w:color w:val="000000"/>
          <w:lang w:eastAsia="it-IT"/>
        </w:rPr>
        <w:t>principio attivo</w:t>
      </w:r>
      <w:r w:rsidR="00FA2398">
        <w:rPr>
          <w:rFonts w:eastAsia="Calibri" w:cs="Calibri"/>
          <w:color w:val="000000"/>
          <w:lang w:eastAsia="it-IT"/>
        </w:rPr>
        <w:t xml:space="preserve"> alla concentrazione di</w:t>
      </w:r>
      <w:r w:rsidR="0071500B">
        <w:rPr>
          <w:rFonts w:eastAsia="Calibri" w:cs="Calibri"/>
          <w:color w:val="000000"/>
          <w:lang w:eastAsia="it-IT"/>
        </w:rPr>
        <w:t xml:space="preserve"> </w:t>
      </w:r>
      <w:r w:rsidR="00732396">
        <w:rPr>
          <w:rFonts w:eastAsia="Calibri" w:cs="Calibri"/>
          <w:color w:val="000000"/>
          <w:lang w:eastAsia="it-IT"/>
        </w:rPr>
        <w:t>500 mg</w:t>
      </w:r>
      <w:r w:rsidR="00797416">
        <w:rPr>
          <w:rFonts w:eastAsia="Calibri" w:cs="Calibri"/>
          <w:color w:val="000000"/>
          <w:lang w:eastAsia="it-IT"/>
        </w:rPr>
        <w:t>;</w:t>
      </w:r>
    </w:p>
    <w:p w14:paraId="0FB57032" w14:textId="77777777" w:rsidR="00BB2AF8" w:rsidRDefault="00BB2AF8" w:rsidP="00BB2AF8">
      <w:pPr>
        <w:widowControl w:val="0"/>
        <w:spacing w:after="0" w:line="240" w:lineRule="auto"/>
        <w:jc w:val="both"/>
        <w:rPr>
          <w:rFonts w:eastAsia="Calibri" w:cs="Calibri"/>
          <w:color w:val="000000"/>
          <w:lang w:eastAsia="it-IT"/>
        </w:rPr>
      </w:pPr>
    </w:p>
    <w:p w14:paraId="3E9DF51F" w14:textId="77777777" w:rsidR="006B311C" w:rsidRDefault="006B311C" w:rsidP="00BB2AF8">
      <w:pPr>
        <w:widowControl w:val="0"/>
        <w:spacing w:after="0" w:line="240" w:lineRule="auto"/>
        <w:jc w:val="both"/>
        <w:rPr>
          <w:rFonts w:eastAsia="Calibri" w:cs="Calibri"/>
          <w:b/>
          <w:i/>
          <w:color w:val="000000"/>
          <w:sz w:val="20"/>
          <w:highlight w:val="green"/>
          <w:lang w:eastAsia="it-IT"/>
        </w:rPr>
      </w:pPr>
    </w:p>
    <w:p w14:paraId="4CD180A0" w14:textId="57CFC183" w:rsidR="00797416" w:rsidRDefault="00A57CE8" w:rsidP="00BB2AF8">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D63096">
        <w:rPr>
          <w:rFonts w:eastAsia="Calibri" w:cs="Calibri"/>
          <w:color w:val="000000"/>
          <w:lang w:eastAsia="it-IT"/>
        </w:rPr>
        <w:t xml:space="preserve"> </w:t>
      </w:r>
      <w:r w:rsidR="00797416" w:rsidRPr="00F06CB7">
        <w:rPr>
          <w:rFonts w:eastAsia="Calibri" w:cs="Calibri"/>
          <w:color w:val="000000"/>
          <w:lang w:eastAsia="it-IT"/>
        </w:rPr>
        <w:t xml:space="preserve">è un “medicinale generico”, cioè è analogo ad un “medicinale di riferimento”, </w:t>
      </w:r>
      <w:proofErr w:type="spellStart"/>
      <w:r w:rsidR="00732396">
        <w:rPr>
          <w:rFonts w:eastAsia="Calibri" w:cs="Calibri"/>
          <w:color w:val="000000"/>
          <w:lang w:eastAsia="it-IT"/>
        </w:rPr>
        <w:t>Citovirax</w:t>
      </w:r>
      <w:proofErr w:type="spellEnd"/>
      <w:r w:rsidR="00300BEA" w:rsidRPr="00F06CB7">
        <w:rPr>
          <w:rFonts w:eastAsia="Calibri" w:cs="Calibri"/>
          <w:color w:val="000000"/>
          <w:lang w:eastAsia="it-IT"/>
        </w:rPr>
        <w:t xml:space="preserve"> già autorizzato in Italia con una procedura </w:t>
      </w:r>
      <w:r w:rsidR="0071500B">
        <w:rPr>
          <w:rFonts w:eastAsia="Calibri" w:cs="Calibri"/>
          <w:color w:val="000000"/>
          <w:lang w:eastAsia="it-IT"/>
        </w:rPr>
        <w:t>nazionale</w:t>
      </w:r>
      <w:r w:rsidR="00300BEA" w:rsidRPr="00F06CB7">
        <w:rPr>
          <w:rFonts w:eastAsia="Calibri" w:cs="Calibri"/>
          <w:color w:val="000000"/>
          <w:lang w:eastAsia="it-IT"/>
        </w:rPr>
        <w:t>. Sul sito dell’Agenzia Italiana del Farmaco (AIFA) (</w:t>
      </w:r>
      <w:hyperlink r:id="rId7" w:history="1">
        <w:r w:rsidR="00300BEA" w:rsidRPr="00F06CB7">
          <w:rPr>
            <w:rStyle w:val="Collegamentoipertestuale"/>
            <w:rFonts w:eastAsia="Calibri" w:cs="Calibri"/>
            <w:lang w:eastAsia="it-IT"/>
          </w:rPr>
          <w:t>https://farmaci.agenziafarmaco.gov.it/bancadatifarmaci</w:t>
        </w:r>
      </w:hyperlink>
      <w:r w:rsidR="00300BEA" w:rsidRPr="00F06CB7">
        <w:rPr>
          <w:rFonts w:eastAsia="Calibri" w:cs="Calibri"/>
          <w:lang w:eastAsia="it-IT"/>
        </w:rPr>
        <w:t>)</w:t>
      </w:r>
      <w:r w:rsidR="00300BEA" w:rsidRPr="00F06CB7">
        <w:t xml:space="preserve"> </w:t>
      </w:r>
      <w:r w:rsidR="00300BEA" w:rsidRPr="00F06CB7">
        <w:rPr>
          <w:rFonts w:eastAsia="Calibri" w:cs="Calibri"/>
          <w:color w:val="000000"/>
          <w:lang w:eastAsia="it-IT"/>
        </w:rPr>
        <w:t xml:space="preserve">è possibile consultare il Riassunto delle caratteristiche del prodotto e il foglio illustrativo di </w:t>
      </w:r>
      <w:proofErr w:type="spellStart"/>
      <w:r w:rsidR="00963989">
        <w:rPr>
          <w:rFonts w:eastAsia="Calibri" w:cs="Calibri"/>
          <w:color w:val="000000"/>
          <w:lang w:eastAsia="it-IT"/>
        </w:rPr>
        <w:t>Citovirax</w:t>
      </w:r>
      <w:proofErr w:type="spellEnd"/>
      <w:r w:rsidR="00300BEA" w:rsidRPr="00F06CB7">
        <w:rPr>
          <w:rFonts w:eastAsia="Calibri" w:cs="Calibri"/>
          <w:color w:val="000000"/>
          <w:lang w:eastAsia="it-IT"/>
        </w:rPr>
        <w:t>.</w:t>
      </w:r>
    </w:p>
    <w:p w14:paraId="1C405637" w14:textId="77777777" w:rsidR="009D60D7" w:rsidRDefault="009D60D7" w:rsidP="009D60D7">
      <w:pPr>
        <w:autoSpaceDE w:val="0"/>
        <w:autoSpaceDN w:val="0"/>
        <w:adjustRightInd w:val="0"/>
        <w:spacing w:after="0" w:line="240" w:lineRule="auto"/>
        <w:jc w:val="both"/>
        <w:rPr>
          <w:rFonts w:eastAsia="Calibri" w:cs="Calibri"/>
          <w:color w:val="000000"/>
          <w:lang w:eastAsia="it-IT"/>
        </w:rPr>
      </w:pPr>
    </w:p>
    <w:p w14:paraId="6B383885" w14:textId="77777777" w:rsidR="00F06CB7" w:rsidRPr="009D60D7" w:rsidRDefault="00F06CB7" w:rsidP="009D60D7">
      <w:pPr>
        <w:autoSpaceDE w:val="0"/>
        <w:autoSpaceDN w:val="0"/>
        <w:adjustRightInd w:val="0"/>
        <w:spacing w:after="0" w:line="240" w:lineRule="auto"/>
        <w:jc w:val="both"/>
        <w:rPr>
          <w:rFonts w:eastAsia="Calibri" w:cs="Calibri"/>
          <w:b/>
          <w:bCs/>
          <w:color w:val="000000"/>
          <w:szCs w:val="24"/>
          <w:lang w:eastAsia="it-IT"/>
        </w:rPr>
      </w:pPr>
    </w:p>
    <w:p w14:paraId="5CD9D5C6" w14:textId="58859079" w:rsidR="00963989" w:rsidRPr="00963989" w:rsidRDefault="00A57CE8" w:rsidP="00963989">
      <w:pPr>
        <w:autoSpaceDE w:val="0"/>
        <w:autoSpaceDN w:val="0"/>
        <w:adjustRightInd w:val="0"/>
        <w:spacing w:after="0" w:line="240" w:lineRule="auto"/>
        <w:jc w:val="both"/>
        <w:rPr>
          <w:rFonts w:eastAsia="Calibri" w:cs="Calibri"/>
          <w:color w:val="000000"/>
          <w:szCs w:val="24"/>
          <w:lang w:eastAsia="it-IT"/>
        </w:rPr>
      </w:pPr>
      <w:proofErr w:type="spellStart"/>
      <w:r>
        <w:rPr>
          <w:rFonts w:eastAsia="Calibri" w:cs="Calibri"/>
          <w:color w:val="000000"/>
          <w:szCs w:val="24"/>
          <w:lang w:eastAsia="it-IT"/>
        </w:rPr>
        <w:t>Ganciclovir</w:t>
      </w:r>
      <w:proofErr w:type="spellEnd"/>
      <w:r>
        <w:rPr>
          <w:rFonts w:eastAsia="Calibri" w:cs="Calibri"/>
          <w:color w:val="000000"/>
          <w:szCs w:val="24"/>
          <w:lang w:eastAsia="it-IT"/>
        </w:rPr>
        <w:t xml:space="preserve"> </w:t>
      </w:r>
      <w:proofErr w:type="spellStart"/>
      <w:proofErr w:type="gramStart"/>
      <w:r>
        <w:rPr>
          <w:rFonts w:eastAsia="Calibri" w:cs="Calibri"/>
          <w:color w:val="000000"/>
          <w:szCs w:val="24"/>
          <w:lang w:eastAsia="it-IT"/>
        </w:rPr>
        <w:t>Medac</w:t>
      </w:r>
      <w:proofErr w:type="spellEnd"/>
      <w:r w:rsidR="00963989">
        <w:rPr>
          <w:rFonts w:eastAsia="Calibri" w:cs="Calibri"/>
          <w:color w:val="000000"/>
          <w:szCs w:val="24"/>
          <w:lang w:eastAsia="it-IT"/>
        </w:rPr>
        <w:t xml:space="preserve"> </w:t>
      </w:r>
      <w:r w:rsidR="00963989" w:rsidRPr="00963989">
        <w:rPr>
          <w:rFonts w:eastAsia="Calibri" w:cs="Calibri"/>
          <w:color w:val="000000"/>
          <w:szCs w:val="24"/>
          <w:lang w:eastAsia="it-IT"/>
        </w:rPr>
        <w:t xml:space="preserve"> è</w:t>
      </w:r>
      <w:proofErr w:type="gramEnd"/>
      <w:r w:rsidR="00963989" w:rsidRPr="00963989">
        <w:rPr>
          <w:rFonts w:eastAsia="Calibri" w:cs="Calibri"/>
          <w:color w:val="000000"/>
          <w:szCs w:val="24"/>
          <w:lang w:eastAsia="it-IT"/>
        </w:rPr>
        <w:t xml:space="preserve"> usato nel trattamento di malattie causate da un virus denominato citomegalovirus (CMV) nei pazienti che presentano un indebolimento del sistema immunitario, nonché nella prevenzione delle infezioni da CMV dopo trapianto di organo o durante la chemioterapia. </w:t>
      </w:r>
    </w:p>
    <w:p w14:paraId="140FE9D8" w14:textId="3050F5F0" w:rsidR="00702C97" w:rsidRPr="00702C97" w:rsidRDefault="00963989" w:rsidP="00963989">
      <w:pPr>
        <w:autoSpaceDE w:val="0"/>
        <w:autoSpaceDN w:val="0"/>
        <w:adjustRightInd w:val="0"/>
        <w:spacing w:after="0" w:line="240" w:lineRule="auto"/>
        <w:jc w:val="both"/>
        <w:rPr>
          <w:rFonts w:eastAsia="Calibri" w:cs="Calibri"/>
          <w:color w:val="000000"/>
          <w:szCs w:val="24"/>
          <w:lang w:eastAsia="it-IT"/>
        </w:rPr>
      </w:pPr>
      <w:r w:rsidRPr="00963989">
        <w:rPr>
          <w:rFonts w:eastAsia="Calibri" w:cs="Calibri"/>
          <w:color w:val="000000"/>
          <w:szCs w:val="24"/>
          <w:lang w:eastAsia="it-IT"/>
        </w:rPr>
        <w:t>È usato negli adulti e negli adolescenti di età pari o superiore a 12 anni.</w:t>
      </w:r>
    </w:p>
    <w:p w14:paraId="209FAF78" w14:textId="77777777" w:rsidR="00963989" w:rsidRPr="00963989" w:rsidRDefault="00963989" w:rsidP="00963989">
      <w:pPr>
        <w:autoSpaceDE w:val="0"/>
        <w:autoSpaceDN w:val="0"/>
        <w:adjustRightInd w:val="0"/>
        <w:spacing w:after="0" w:line="240" w:lineRule="auto"/>
        <w:jc w:val="both"/>
        <w:rPr>
          <w:rFonts w:eastAsia="Calibri" w:cs="Calibri"/>
          <w:color w:val="000000"/>
          <w:szCs w:val="24"/>
          <w:lang w:eastAsia="it-IT"/>
        </w:rPr>
      </w:pPr>
      <w:r w:rsidRPr="00963989">
        <w:rPr>
          <w:rFonts w:eastAsia="Calibri" w:cs="Calibri"/>
          <w:color w:val="000000"/>
          <w:szCs w:val="24"/>
          <w:lang w:eastAsia="it-IT"/>
        </w:rPr>
        <w:t>•</w:t>
      </w:r>
      <w:r w:rsidRPr="00963989">
        <w:rPr>
          <w:rFonts w:eastAsia="Calibri" w:cs="Calibri"/>
          <w:color w:val="000000"/>
          <w:szCs w:val="24"/>
          <w:lang w:eastAsia="it-IT"/>
        </w:rPr>
        <w:tab/>
        <w:t xml:space="preserve">Il virus può colpire qualsiasi parte dell’organismo, ivi compresa la retina, un velo che si estende sulla parte retrostante dell’occhio – ciò significa che il virus può causare problemi alla vista. </w:t>
      </w:r>
    </w:p>
    <w:p w14:paraId="418AC7E1" w14:textId="4A84E1B8" w:rsidR="00702C97" w:rsidRDefault="00963989" w:rsidP="00963989">
      <w:pPr>
        <w:autoSpaceDE w:val="0"/>
        <w:autoSpaceDN w:val="0"/>
        <w:adjustRightInd w:val="0"/>
        <w:spacing w:after="0" w:line="240" w:lineRule="auto"/>
        <w:jc w:val="both"/>
        <w:rPr>
          <w:rFonts w:eastAsia="Calibri" w:cs="Calibri"/>
          <w:color w:val="000000"/>
          <w:szCs w:val="24"/>
          <w:lang w:eastAsia="it-IT"/>
        </w:rPr>
      </w:pPr>
      <w:r w:rsidRPr="00963989">
        <w:rPr>
          <w:rFonts w:eastAsia="Calibri" w:cs="Calibri"/>
          <w:color w:val="000000"/>
          <w:szCs w:val="24"/>
          <w:lang w:eastAsia="it-IT"/>
        </w:rPr>
        <w:t>•</w:t>
      </w:r>
      <w:r w:rsidRPr="00963989">
        <w:rPr>
          <w:rFonts w:eastAsia="Calibri" w:cs="Calibri"/>
          <w:color w:val="000000"/>
          <w:szCs w:val="24"/>
          <w:lang w:eastAsia="it-IT"/>
        </w:rPr>
        <w:tab/>
        <w:t xml:space="preserve">Il virus può colpire chiunque, ma rappresenta un problema specifico per soggetti con un sistema immunitario debole. In queste persone il CMV può provocare una malattia grave. È possibile che la debolezza </w:t>
      </w:r>
      <w:r w:rsidRPr="00963989">
        <w:rPr>
          <w:rFonts w:eastAsia="Calibri" w:cs="Calibri"/>
          <w:color w:val="000000"/>
          <w:szCs w:val="24"/>
          <w:lang w:eastAsia="it-IT"/>
        </w:rPr>
        <w:lastRenderedPageBreak/>
        <w:t>del sistema immunitario sia causata da altre patologie (quali AIDS) o da medicinali (quali chemioterapici o immunosoppressori).</w:t>
      </w:r>
    </w:p>
    <w:p w14:paraId="66D42509" w14:textId="77777777" w:rsidR="003017A9" w:rsidRPr="00702C97" w:rsidRDefault="003017A9" w:rsidP="00963989">
      <w:pPr>
        <w:autoSpaceDE w:val="0"/>
        <w:autoSpaceDN w:val="0"/>
        <w:adjustRightInd w:val="0"/>
        <w:spacing w:after="0" w:line="240" w:lineRule="auto"/>
        <w:jc w:val="both"/>
        <w:rPr>
          <w:rFonts w:eastAsia="Calibri" w:cs="Calibri"/>
          <w:color w:val="000000"/>
          <w:szCs w:val="24"/>
          <w:lang w:eastAsia="it-IT"/>
        </w:rPr>
      </w:pPr>
    </w:p>
    <w:p w14:paraId="7BDD594A"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75B755C1" w14:textId="13801C70"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w:t>
      </w:r>
      <w:r w:rsidR="002176B5">
        <w:rPr>
          <w:rFonts w:eastAsia="Calibri" w:cstheme="minorHAnsi"/>
          <w:b/>
          <w:bCs/>
          <w:color w:val="000000"/>
          <w:lang w:eastAsia="it-IT"/>
        </w:rPr>
        <w:t>È</w:t>
      </w:r>
      <w:r w:rsidRPr="003F739B">
        <w:rPr>
          <w:rFonts w:eastAsia="Calibri" w:cs="Calibri"/>
          <w:b/>
          <w:bCs/>
          <w:color w:val="000000"/>
          <w:lang w:eastAsia="it-IT"/>
        </w:rPr>
        <w:t xml:space="preserve"> PRESCRITTO</w:t>
      </w:r>
      <w:r w:rsidR="00020D88">
        <w:rPr>
          <w:rFonts w:eastAsia="Calibri" w:cs="Calibri"/>
          <w:b/>
          <w:color w:val="000000"/>
          <w:lang w:eastAsia="it-IT"/>
        </w:rPr>
        <w:t xml:space="preserve"> </w:t>
      </w:r>
      <w:r w:rsidR="00A57CE8">
        <w:rPr>
          <w:rFonts w:eastAsia="Calibri" w:cs="Calibri"/>
          <w:b/>
          <w:color w:val="000000"/>
          <w:lang w:eastAsia="it-IT"/>
        </w:rPr>
        <w:t>GANCICLOVIR MEDAC</w:t>
      </w:r>
      <w:r w:rsidRPr="003F739B">
        <w:rPr>
          <w:rFonts w:eastAsia="Calibri" w:cs="Calibri"/>
          <w:b/>
          <w:bCs/>
          <w:color w:val="000000"/>
          <w:lang w:eastAsia="it-IT"/>
        </w:rPr>
        <w:t>?</w:t>
      </w:r>
    </w:p>
    <w:p w14:paraId="1561C048" w14:textId="35EB9A23" w:rsidR="001C15DF" w:rsidRDefault="00A57CE8" w:rsidP="0022639C">
      <w:pPr>
        <w:pStyle w:val="PreformattatoHTML"/>
        <w:jc w:val="both"/>
        <w:rPr>
          <w:rFonts w:asciiTheme="minorHAnsi" w:eastAsia="Calibri" w:hAnsiTheme="minorHAnsi" w:cs="Calibri"/>
          <w:color w:val="000000"/>
          <w:sz w:val="22"/>
          <w:szCs w:val="22"/>
        </w:rPr>
      </w:pPr>
      <w:proofErr w:type="spellStart"/>
      <w:r>
        <w:rPr>
          <w:rFonts w:asciiTheme="minorHAnsi" w:eastAsia="Calibri" w:hAnsiTheme="minorHAnsi" w:cs="Calibri"/>
          <w:color w:val="000000"/>
          <w:sz w:val="22"/>
          <w:szCs w:val="22"/>
        </w:rPr>
        <w:t>Ganciclovir</w:t>
      </w:r>
      <w:proofErr w:type="spellEnd"/>
      <w:r>
        <w:rPr>
          <w:rFonts w:asciiTheme="minorHAnsi" w:eastAsia="Calibri" w:hAnsiTheme="minorHAnsi" w:cs="Calibri"/>
          <w:color w:val="000000"/>
          <w:sz w:val="22"/>
          <w:szCs w:val="22"/>
        </w:rPr>
        <w:t xml:space="preserve"> </w:t>
      </w:r>
      <w:proofErr w:type="spellStart"/>
      <w:r>
        <w:rPr>
          <w:rFonts w:asciiTheme="minorHAnsi" w:eastAsia="Calibri" w:hAnsiTheme="minorHAnsi" w:cs="Calibri"/>
          <w:color w:val="000000"/>
          <w:sz w:val="22"/>
          <w:szCs w:val="22"/>
        </w:rPr>
        <w:t>Medac</w:t>
      </w:r>
      <w:proofErr w:type="spellEnd"/>
      <w:r w:rsidR="008A2E78">
        <w:rPr>
          <w:rFonts w:asciiTheme="minorHAnsi" w:eastAsia="Calibri" w:hAnsiTheme="minorHAnsi" w:cs="Calibri"/>
          <w:color w:val="000000"/>
          <w:sz w:val="22"/>
          <w:szCs w:val="22"/>
        </w:rPr>
        <w:t xml:space="preserve"> è un </w:t>
      </w:r>
      <w:r w:rsidR="003017A9">
        <w:rPr>
          <w:rFonts w:asciiTheme="minorHAnsi" w:eastAsia="Calibri" w:hAnsiTheme="minorHAnsi" w:cs="Calibri"/>
          <w:color w:val="000000"/>
          <w:sz w:val="22"/>
          <w:szCs w:val="22"/>
        </w:rPr>
        <w:t xml:space="preserve">medicinale </w:t>
      </w:r>
      <w:r w:rsidR="003017A9" w:rsidRPr="003017A9">
        <w:rPr>
          <w:rFonts w:asciiTheme="minorHAnsi" w:eastAsia="Calibri" w:hAnsiTheme="minorHAnsi" w:cs="Calibri"/>
          <w:color w:val="000000"/>
          <w:sz w:val="22"/>
          <w:szCs w:val="22"/>
        </w:rPr>
        <w:t>per uso esclusivo negli ospedali e nelle strutture ad essi assimilate, come le case di cura</w:t>
      </w:r>
      <w:r w:rsidR="00926255">
        <w:rPr>
          <w:rFonts w:asciiTheme="minorHAnsi" w:eastAsia="Calibri" w:hAnsiTheme="minorHAnsi" w:cs="Calibri"/>
          <w:color w:val="000000"/>
          <w:sz w:val="22"/>
          <w:szCs w:val="22"/>
        </w:rPr>
        <w:t>.</w:t>
      </w:r>
    </w:p>
    <w:p w14:paraId="0FF7EE37" w14:textId="49CDDF78" w:rsidR="003017A9" w:rsidRPr="003017A9" w:rsidRDefault="003017A9" w:rsidP="003017A9">
      <w:pPr>
        <w:rPr>
          <w:iCs/>
        </w:rPr>
      </w:pPr>
      <w:proofErr w:type="spellStart"/>
      <w:r>
        <w:rPr>
          <w:iCs/>
        </w:rPr>
        <w:t>Ganciclovir</w:t>
      </w:r>
      <w:proofErr w:type="spellEnd"/>
      <w:r>
        <w:rPr>
          <w:iCs/>
        </w:rPr>
        <w:t xml:space="preserve"> </w:t>
      </w:r>
      <w:proofErr w:type="spellStart"/>
      <w:r>
        <w:rPr>
          <w:iCs/>
        </w:rPr>
        <w:t>M</w:t>
      </w:r>
      <w:r w:rsidRPr="003017A9">
        <w:rPr>
          <w:iCs/>
        </w:rPr>
        <w:t>edac</w:t>
      </w:r>
      <w:proofErr w:type="spellEnd"/>
      <w:r w:rsidRPr="003017A9">
        <w:rPr>
          <w:iCs/>
        </w:rPr>
        <w:t xml:space="preserve"> </w:t>
      </w:r>
      <w:r>
        <w:rPr>
          <w:iCs/>
        </w:rPr>
        <w:t xml:space="preserve">viene </w:t>
      </w:r>
      <w:r w:rsidRPr="003017A9">
        <w:rPr>
          <w:iCs/>
        </w:rPr>
        <w:t>somministrato da un medico o da un infermiere mediante un tubicino inserito in una vena. Questa modalità di somministrazione viene definita infusione endovenosa e solitamente richiede un’ora.</w:t>
      </w:r>
    </w:p>
    <w:p w14:paraId="30B4F693" w14:textId="574A3834" w:rsidR="003017A9" w:rsidRPr="003017A9" w:rsidRDefault="003017A9" w:rsidP="003017A9">
      <w:pPr>
        <w:autoSpaceDE w:val="0"/>
        <w:autoSpaceDN w:val="0"/>
        <w:adjustRightInd w:val="0"/>
        <w:spacing w:after="0" w:line="240" w:lineRule="auto"/>
        <w:jc w:val="both"/>
        <w:rPr>
          <w:iCs/>
        </w:rPr>
      </w:pPr>
      <w:r w:rsidRPr="003017A9">
        <w:rPr>
          <w:iCs/>
        </w:rPr>
        <w:t>La quan</w:t>
      </w:r>
      <w:r w:rsidR="000A1E50">
        <w:rPr>
          <w:iCs/>
        </w:rPr>
        <w:t xml:space="preserve">tità necessaria di </w:t>
      </w:r>
      <w:proofErr w:type="spellStart"/>
      <w:r w:rsidR="000A1E50">
        <w:rPr>
          <w:iCs/>
        </w:rPr>
        <w:t>Ganciclovir</w:t>
      </w:r>
      <w:proofErr w:type="spellEnd"/>
      <w:r w:rsidR="000A1E50">
        <w:rPr>
          <w:iCs/>
        </w:rPr>
        <w:t xml:space="preserve"> </w:t>
      </w:r>
      <w:proofErr w:type="spellStart"/>
      <w:r w:rsidR="000A1E50">
        <w:rPr>
          <w:iCs/>
        </w:rPr>
        <w:t>M</w:t>
      </w:r>
      <w:r w:rsidRPr="003017A9">
        <w:rPr>
          <w:iCs/>
        </w:rPr>
        <w:t>edac</w:t>
      </w:r>
      <w:proofErr w:type="spellEnd"/>
      <w:r w:rsidRPr="003017A9">
        <w:rPr>
          <w:iCs/>
        </w:rPr>
        <w:t xml:space="preserve"> varia da paziente a paziente. Il medico calcolerà la dose da somministrare. Questa dipenderà:</w:t>
      </w:r>
    </w:p>
    <w:p w14:paraId="296444CA" w14:textId="77777777"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dal peso</w:t>
      </w:r>
    </w:p>
    <w:p w14:paraId="06AFB5A1" w14:textId="77777777"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dall’età</w:t>
      </w:r>
    </w:p>
    <w:p w14:paraId="1DD79677" w14:textId="77777777"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dal livello di funzionamento dei reni</w:t>
      </w:r>
    </w:p>
    <w:p w14:paraId="72B416D0" w14:textId="77777777"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dal numero di cellule nel sangue</w:t>
      </w:r>
    </w:p>
    <w:p w14:paraId="01DC23A0" w14:textId="3A65172B"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 xml:space="preserve">dal motivo per cui </w:t>
      </w:r>
      <w:r>
        <w:rPr>
          <w:iCs/>
        </w:rPr>
        <w:t>si utilizza</w:t>
      </w:r>
      <w:r w:rsidRPr="003017A9">
        <w:rPr>
          <w:iCs/>
        </w:rPr>
        <w:t xml:space="preserve"> questo medicinale.</w:t>
      </w:r>
    </w:p>
    <w:p w14:paraId="754F608D" w14:textId="77777777" w:rsidR="003017A9" w:rsidRPr="003017A9" w:rsidRDefault="003017A9" w:rsidP="003017A9">
      <w:pPr>
        <w:autoSpaceDE w:val="0"/>
        <w:autoSpaceDN w:val="0"/>
        <w:adjustRightInd w:val="0"/>
        <w:spacing w:after="0" w:line="240" w:lineRule="auto"/>
        <w:jc w:val="both"/>
        <w:rPr>
          <w:iCs/>
        </w:rPr>
      </w:pPr>
    </w:p>
    <w:p w14:paraId="0138009B" w14:textId="5A97A799" w:rsidR="003017A9" w:rsidRPr="003017A9" w:rsidRDefault="003017A9" w:rsidP="003017A9">
      <w:pPr>
        <w:autoSpaceDE w:val="0"/>
        <w:autoSpaceDN w:val="0"/>
        <w:adjustRightInd w:val="0"/>
        <w:spacing w:after="0" w:line="240" w:lineRule="auto"/>
        <w:jc w:val="both"/>
        <w:rPr>
          <w:iCs/>
        </w:rPr>
      </w:pPr>
      <w:r w:rsidRPr="003017A9">
        <w:rPr>
          <w:iCs/>
        </w:rPr>
        <w:t xml:space="preserve">Anche la frequenza con cui </w:t>
      </w:r>
      <w:r>
        <w:rPr>
          <w:iCs/>
        </w:rPr>
        <w:t xml:space="preserve">viene </w:t>
      </w:r>
      <w:r w:rsidR="000A1E50">
        <w:rPr>
          <w:iCs/>
        </w:rPr>
        <w:t xml:space="preserve">somministrato </w:t>
      </w:r>
      <w:proofErr w:type="spellStart"/>
      <w:r w:rsidR="000A1E50">
        <w:rPr>
          <w:iCs/>
        </w:rPr>
        <w:t>Ganciclovir</w:t>
      </w:r>
      <w:proofErr w:type="spellEnd"/>
      <w:r w:rsidR="000A1E50">
        <w:rPr>
          <w:iCs/>
        </w:rPr>
        <w:t xml:space="preserve"> </w:t>
      </w:r>
      <w:proofErr w:type="spellStart"/>
      <w:r w:rsidR="000A1E50">
        <w:rPr>
          <w:iCs/>
        </w:rPr>
        <w:t>M</w:t>
      </w:r>
      <w:r w:rsidRPr="003017A9">
        <w:rPr>
          <w:iCs/>
        </w:rPr>
        <w:t>edac</w:t>
      </w:r>
      <w:proofErr w:type="spellEnd"/>
      <w:r w:rsidRPr="003017A9">
        <w:rPr>
          <w:iCs/>
        </w:rPr>
        <w:t xml:space="preserve"> e la durata del suo impiego varieranno.</w:t>
      </w:r>
    </w:p>
    <w:p w14:paraId="5C7BFCC5" w14:textId="20E7872A"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Normalmente</w:t>
      </w:r>
      <w:r>
        <w:rPr>
          <w:iCs/>
        </w:rPr>
        <w:t xml:space="preserve"> si</w:t>
      </w:r>
      <w:r w:rsidRPr="003017A9">
        <w:rPr>
          <w:iCs/>
        </w:rPr>
        <w:t xml:space="preserve"> inizierà con una o due infusioni ogni giorno.</w:t>
      </w:r>
    </w:p>
    <w:p w14:paraId="1B9CEFD4" w14:textId="77777777"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Nel caso di due infusioni al giorno, questo regime continuerà per un massimo di 21 giorni.</w:t>
      </w:r>
    </w:p>
    <w:p w14:paraId="6EA96A49" w14:textId="404B6210" w:rsidR="003017A9" w:rsidRPr="003017A9" w:rsidRDefault="003017A9" w:rsidP="003017A9">
      <w:pPr>
        <w:autoSpaceDE w:val="0"/>
        <w:autoSpaceDN w:val="0"/>
        <w:adjustRightInd w:val="0"/>
        <w:spacing w:after="0" w:line="240" w:lineRule="auto"/>
        <w:jc w:val="both"/>
        <w:rPr>
          <w:iCs/>
        </w:rPr>
      </w:pPr>
      <w:r w:rsidRPr="003017A9">
        <w:rPr>
          <w:iCs/>
        </w:rPr>
        <w:t>•</w:t>
      </w:r>
      <w:r w:rsidRPr="003017A9">
        <w:rPr>
          <w:iCs/>
        </w:rPr>
        <w:tab/>
        <w:t>Successivament</w:t>
      </w:r>
      <w:r>
        <w:rPr>
          <w:iCs/>
        </w:rPr>
        <w:t>e il medico potrebbe prescriver</w:t>
      </w:r>
      <w:r w:rsidRPr="003017A9">
        <w:rPr>
          <w:iCs/>
        </w:rPr>
        <w:t>e un’infusione una volta al giorno.</w:t>
      </w:r>
    </w:p>
    <w:p w14:paraId="745F5D4A" w14:textId="77777777" w:rsidR="003017A9" w:rsidRPr="003017A9" w:rsidRDefault="003017A9" w:rsidP="003017A9">
      <w:pPr>
        <w:autoSpaceDE w:val="0"/>
        <w:autoSpaceDN w:val="0"/>
        <w:adjustRightInd w:val="0"/>
        <w:spacing w:after="0" w:line="240" w:lineRule="auto"/>
        <w:jc w:val="both"/>
        <w:rPr>
          <w:iCs/>
        </w:rPr>
      </w:pPr>
    </w:p>
    <w:p w14:paraId="45B1B177" w14:textId="78F1D4A9" w:rsidR="00F96473" w:rsidRDefault="003017A9" w:rsidP="003017A9">
      <w:pPr>
        <w:autoSpaceDE w:val="0"/>
        <w:autoSpaceDN w:val="0"/>
        <w:adjustRightInd w:val="0"/>
        <w:spacing w:after="0" w:line="240" w:lineRule="auto"/>
        <w:jc w:val="both"/>
        <w:rPr>
          <w:iCs/>
        </w:rPr>
      </w:pPr>
      <w:r>
        <w:rPr>
          <w:iCs/>
        </w:rPr>
        <w:t>Nel caso di s</w:t>
      </w:r>
      <w:r w:rsidRPr="003017A9">
        <w:rPr>
          <w:iCs/>
        </w:rPr>
        <w:t>oggetti con problemi</w:t>
      </w:r>
      <w:r w:rsidR="008A2E78">
        <w:rPr>
          <w:iCs/>
        </w:rPr>
        <w:t xml:space="preserve"> a carico dei reni o del sangue</w:t>
      </w:r>
      <w:r>
        <w:rPr>
          <w:iCs/>
        </w:rPr>
        <w:t>, il medico potrebbe consigliar</w:t>
      </w:r>
      <w:r w:rsidRPr="003017A9">
        <w:rPr>
          <w:iCs/>
        </w:rPr>
        <w:t>e di assumere una</w:t>
      </w:r>
      <w:r w:rsidR="000A1E50">
        <w:rPr>
          <w:iCs/>
        </w:rPr>
        <w:t xml:space="preserve"> dose inferiore di </w:t>
      </w:r>
      <w:proofErr w:type="spellStart"/>
      <w:r w:rsidR="000A1E50">
        <w:rPr>
          <w:iCs/>
        </w:rPr>
        <w:t>Ganciclovir</w:t>
      </w:r>
      <w:proofErr w:type="spellEnd"/>
      <w:r w:rsidR="000A1E50">
        <w:rPr>
          <w:iCs/>
        </w:rPr>
        <w:t xml:space="preserve"> </w:t>
      </w:r>
      <w:proofErr w:type="spellStart"/>
      <w:r w:rsidR="000A1E50">
        <w:rPr>
          <w:iCs/>
        </w:rPr>
        <w:t>M</w:t>
      </w:r>
      <w:r w:rsidRPr="003017A9">
        <w:rPr>
          <w:iCs/>
        </w:rPr>
        <w:t>edac</w:t>
      </w:r>
      <w:proofErr w:type="spellEnd"/>
      <w:r w:rsidRPr="003017A9">
        <w:rPr>
          <w:iCs/>
        </w:rPr>
        <w:t xml:space="preserve"> e monitorare il numero delle cellule nel sangue con maggiore frequenza durante il trattamento.</w:t>
      </w:r>
    </w:p>
    <w:p w14:paraId="4CF206DC" w14:textId="77777777"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7BFDFD96" w14:textId="7C0795FC"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A57CE8">
        <w:rPr>
          <w:rFonts w:eastAsia="Calibri" w:cs="Calibri"/>
          <w:b/>
          <w:color w:val="000000"/>
          <w:lang w:eastAsia="it-IT"/>
        </w:rPr>
        <w:t>GANCICLOVIR MEDAC</w:t>
      </w:r>
      <w:r w:rsidRPr="004B4170">
        <w:rPr>
          <w:rFonts w:eastAsia="Calibri" w:cs="Calibri"/>
          <w:b/>
          <w:bCs/>
          <w:color w:val="000000"/>
          <w:lang w:eastAsia="it-IT"/>
        </w:rPr>
        <w:t xml:space="preserve">? </w:t>
      </w:r>
    </w:p>
    <w:p w14:paraId="59985539" w14:textId="4B1414F3" w:rsidR="00BB2AF8" w:rsidRPr="00411424" w:rsidRDefault="00A57CE8" w:rsidP="0043227F">
      <w:pPr>
        <w:autoSpaceDE w:val="0"/>
        <w:autoSpaceDN w:val="0"/>
        <w:adjustRightInd w:val="0"/>
        <w:spacing w:after="0" w:line="240" w:lineRule="auto"/>
        <w:jc w:val="both"/>
        <w:rPr>
          <w:rFonts w:eastAsia="DejaVuSans" w:cs="DejaVuSans"/>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136E1F" w:rsidRPr="00136E1F">
        <w:rPr>
          <w:rFonts w:eastAsia="Calibri" w:cs="Calibri"/>
          <w:bCs/>
          <w:color w:val="000000"/>
          <w:lang w:eastAsia="it-IT"/>
        </w:rPr>
        <w:t>J05AB06</w:t>
      </w:r>
      <w:r w:rsidR="00136E1F">
        <w:rPr>
          <w:rFonts w:eastAsia="Calibri" w:cs="Calibri"/>
          <w:bCs/>
          <w:color w:val="000000"/>
          <w:lang w:eastAsia="it-IT"/>
        </w:rPr>
        <w:t xml:space="preserve"> </w:t>
      </w:r>
      <w:r w:rsidR="00BB2AF8" w:rsidRPr="00EF6711">
        <w:rPr>
          <w:rFonts w:eastAsia="Calibri" w:cs="Calibri"/>
          <w:color w:val="000000"/>
          <w:lang w:eastAsia="it-IT"/>
        </w:rPr>
        <w:t xml:space="preserve">contiene il principio attivo </w:t>
      </w:r>
      <w:proofErr w:type="spellStart"/>
      <w:r w:rsidR="00136E1F">
        <w:rPr>
          <w:rFonts w:eastAsia="Calibri" w:cs="Calibri"/>
          <w:color w:val="000000"/>
          <w:lang w:eastAsia="it-IT"/>
        </w:rPr>
        <w:t>ganci</w:t>
      </w:r>
      <w:r w:rsidR="008A2E78">
        <w:rPr>
          <w:rFonts w:eastAsia="Calibri" w:cs="Calibri"/>
          <w:color w:val="000000"/>
          <w:lang w:eastAsia="it-IT"/>
        </w:rPr>
        <w:t>n</w:t>
      </w:r>
      <w:r w:rsidR="00136E1F">
        <w:rPr>
          <w:rFonts w:eastAsia="Calibri" w:cs="Calibri"/>
          <w:color w:val="000000"/>
          <w:lang w:eastAsia="it-IT"/>
        </w:rPr>
        <w:t>clov</w:t>
      </w:r>
      <w:r w:rsidR="008A2E78">
        <w:rPr>
          <w:rFonts w:eastAsia="Calibri" w:cs="Calibri"/>
          <w:color w:val="000000"/>
          <w:lang w:eastAsia="it-IT"/>
        </w:rPr>
        <w:t>i</w:t>
      </w:r>
      <w:r w:rsidR="00136E1F">
        <w:rPr>
          <w:rFonts w:eastAsia="Calibri" w:cs="Calibri"/>
          <w:color w:val="000000"/>
          <w:lang w:eastAsia="it-IT"/>
        </w:rPr>
        <w:t>r</w:t>
      </w:r>
      <w:proofErr w:type="spellEnd"/>
      <w:r w:rsidR="00136E1F">
        <w:rPr>
          <w:rFonts w:eastAsia="Calibri" w:cs="Calibri"/>
          <w:color w:val="000000"/>
          <w:lang w:eastAsia="it-IT"/>
        </w:rPr>
        <w:t xml:space="preserve"> </w:t>
      </w:r>
      <w:r w:rsidR="000A1E50">
        <w:rPr>
          <w:rFonts w:eastAsia="Calibri" w:cs="Calibri"/>
          <w:color w:val="000000"/>
          <w:lang w:eastAsia="it-IT"/>
        </w:rPr>
        <w:t xml:space="preserve">che </w:t>
      </w:r>
      <w:r w:rsidR="00136E1F" w:rsidRPr="00136E1F">
        <w:rPr>
          <w:rFonts w:eastAsia="Calibri" w:cs="Calibri"/>
          <w:color w:val="000000"/>
          <w:lang w:eastAsia="it-IT"/>
        </w:rPr>
        <w:t>è un analogo sintetico della 2’-deossiguanosina che inibisce la replicazione degli herpes virus</w:t>
      </w:r>
      <w:r w:rsidR="00136E1F">
        <w:rPr>
          <w:rFonts w:eastAsia="Calibri" w:cs="Calibri"/>
          <w:color w:val="000000"/>
          <w:lang w:eastAsia="it-IT"/>
        </w:rPr>
        <w:t xml:space="preserve">. </w:t>
      </w:r>
      <w:r w:rsidR="00136E1F" w:rsidRPr="00136E1F">
        <w:rPr>
          <w:rFonts w:eastAsia="Calibri" w:cs="Calibri"/>
          <w:color w:val="000000"/>
          <w:lang w:eastAsia="it-IT"/>
        </w:rPr>
        <w:t xml:space="preserve">Gli studi clinici si sono limitati alla valutazione dell’efficacia nei pazienti con infezione da citomegalovirus umano </w:t>
      </w:r>
      <w:r w:rsidR="00136E1F">
        <w:rPr>
          <w:rFonts w:eastAsia="Calibri" w:cs="Calibri"/>
          <w:color w:val="000000"/>
          <w:lang w:eastAsia="it-IT"/>
        </w:rPr>
        <w:t>(</w:t>
      </w:r>
      <w:r w:rsidR="00136E1F" w:rsidRPr="00136E1F">
        <w:rPr>
          <w:rFonts w:eastAsia="Calibri" w:cs="Calibri"/>
          <w:color w:val="000000"/>
          <w:lang w:eastAsia="it-IT"/>
        </w:rPr>
        <w:t>CMV</w:t>
      </w:r>
      <w:r w:rsidR="00136E1F">
        <w:rPr>
          <w:rFonts w:eastAsia="Calibri" w:cs="Calibri"/>
          <w:color w:val="000000"/>
          <w:lang w:eastAsia="it-IT"/>
        </w:rPr>
        <w:t>)</w:t>
      </w:r>
      <w:r w:rsidR="00136E1F" w:rsidRPr="00136E1F">
        <w:rPr>
          <w:rFonts w:eastAsia="Calibri" w:cs="Calibri"/>
          <w:color w:val="000000"/>
          <w:lang w:eastAsia="it-IT"/>
        </w:rPr>
        <w:t>.</w:t>
      </w:r>
    </w:p>
    <w:p w14:paraId="440A5C66" w14:textId="77777777" w:rsidR="00BB2AF8" w:rsidRPr="004B4170" w:rsidRDefault="00BB2AF8" w:rsidP="00BB2AF8">
      <w:pPr>
        <w:autoSpaceDE w:val="0"/>
        <w:autoSpaceDN w:val="0"/>
        <w:adjustRightInd w:val="0"/>
        <w:spacing w:after="0" w:line="240" w:lineRule="auto"/>
        <w:jc w:val="both"/>
        <w:rPr>
          <w:iCs/>
        </w:rPr>
      </w:pPr>
      <w:r w:rsidRPr="004B4170">
        <w:rPr>
          <w:rFonts w:cs="Arial"/>
          <w:color w:val="000000"/>
          <w:shd w:val="clear" w:color="auto" w:fill="FFFFFF"/>
        </w:rPr>
        <w:br/>
      </w:r>
    </w:p>
    <w:p w14:paraId="5C879616" w14:textId="4E4823EC"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A57CE8">
        <w:rPr>
          <w:rFonts w:eastAsia="Calibri" w:cs="Calibri"/>
          <w:b/>
          <w:color w:val="000000"/>
          <w:lang w:eastAsia="it-IT"/>
        </w:rPr>
        <w:t>GANCICLOVIR MEDAC</w:t>
      </w:r>
      <w:r w:rsidRPr="004B4170">
        <w:rPr>
          <w:rFonts w:eastAsia="Calibri" w:cs="Calibri"/>
          <w:b/>
          <w:bCs/>
          <w:lang w:eastAsia="it-IT"/>
        </w:rPr>
        <w:t xml:space="preserve">? </w:t>
      </w:r>
    </w:p>
    <w:p w14:paraId="5895AC72" w14:textId="77777777" w:rsidR="00CC52A3" w:rsidRDefault="00CC52A3" w:rsidP="00F96473">
      <w:pPr>
        <w:spacing w:after="0" w:line="240" w:lineRule="auto"/>
        <w:jc w:val="both"/>
        <w:rPr>
          <w:rFonts w:ascii="Calibri" w:hAnsi="Calibri" w:cs="Arial"/>
        </w:rPr>
      </w:pPr>
    </w:p>
    <w:p w14:paraId="0105852F" w14:textId="5C7C8280" w:rsidR="00BB2AF8" w:rsidRDefault="00BB2AF8" w:rsidP="00BB2AF8">
      <w:pPr>
        <w:spacing w:after="0" w:line="240" w:lineRule="auto"/>
        <w:jc w:val="both"/>
        <w:rPr>
          <w:rFonts w:ascii="Calibri" w:hAnsi="Calibri" w:cs="Arial"/>
        </w:rPr>
      </w:pPr>
      <w:r>
        <w:rPr>
          <w:rFonts w:ascii="Calibri" w:hAnsi="Calibri" w:cs="Arial"/>
        </w:rPr>
        <w:t xml:space="preserve">Poiché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787D86">
        <w:rPr>
          <w:rFonts w:eastAsia="Calibri" w:cs="Calibri"/>
          <w:color w:val="000000"/>
          <w:lang w:eastAsia="it-IT"/>
        </w:rPr>
        <w:t xml:space="preserve"> </w:t>
      </w:r>
      <w:r>
        <w:rPr>
          <w:rFonts w:ascii="Calibri" w:hAnsi="Calibri" w:cs="Arial"/>
        </w:rPr>
        <w:t>è un medicinale generico ed è utilizzato come</w:t>
      </w:r>
      <w:r w:rsidR="00F96473">
        <w:rPr>
          <w:rFonts w:ascii="Calibri" w:hAnsi="Calibri" w:cs="Arial"/>
        </w:rPr>
        <w:t xml:space="preserve"> </w:t>
      </w:r>
      <w:r w:rsidR="00136E1F">
        <w:rPr>
          <w:rFonts w:ascii="Calibri" w:hAnsi="Calibri" w:cs="Arial"/>
        </w:rPr>
        <w:t>polvere per concentr</w:t>
      </w:r>
      <w:r w:rsidR="00B42950">
        <w:rPr>
          <w:rFonts w:ascii="Calibri" w:hAnsi="Calibri" w:cs="Arial"/>
        </w:rPr>
        <w:t>ato per soluzione per infusione</w:t>
      </w:r>
      <w:r w:rsidR="00787D86">
        <w:rPr>
          <w:rFonts w:ascii="Calibri" w:hAnsi="Calibri" w:cs="Arial"/>
        </w:rPr>
        <w:t xml:space="preserve"> c</w:t>
      </w:r>
      <w:r w:rsidR="00F96473" w:rsidRPr="007840F1">
        <w:rPr>
          <w:rFonts w:ascii="Calibri" w:eastAsia="Calibri" w:hAnsi="Calibri" w:cs="Arial"/>
        </w:rPr>
        <w:t xml:space="preserve">on </w:t>
      </w:r>
      <w:r w:rsidR="00F96473">
        <w:rPr>
          <w:rFonts w:ascii="Calibri" w:eastAsia="Calibri" w:hAnsi="Calibri" w:cs="Arial"/>
        </w:rPr>
        <w:t xml:space="preserve">la </w:t>
      </w:r>
      <w:r w:rsidR="00F96473" w:rsidRPr="007840F1">
        <w:rPr>
          <w:rFonts w:ascii="Calibri" w:eastAsia="Calibri" w:hAnsi="Calibri" w:cs="Arial"/>
        </w:rPr>
        <w:t>stessa composizione del medicinale di riferimento</w:t>
      </w:r>
      <w:r>
        <w:rPr>
          <w:rFonts w:ascii="Calibri" w:hAnsi="Calibri" w:cs="Arial"/>
        </w:rPr>
        <w:t>, non è stato necessario effettuare ulteriori studi clinici</w:t>
      </w:r>
      <w:r w:rsidR="00F96473">
        <w:rPr>
          <w:rFonts w:ascii="Calibri" w:hAnsi="Calibri" w:cs="Arial"/>
        </w:rPr>
        <w:t xml:space="preserve"> di confronto con il medicinale di riferimento</w:t>
      </w:r>
      <w:r>
        <w:rPr>
          <w:rFonts w:ascii="Calibri" w:hAnsi="Calibri" w:cs="Arial"/>
        </w:rPr>
        <w:t xml:space="preserve">. </w:t>
      </w:r>
    </w:p>
    <w:p w14:paraId="4BD3018A" w14:textId="77777777" w:rsidR="00BB2AF8" w:rsidRDefault="00BB2AF8" w:rsidP="00BB2AF8">
      <w:pPr>
        <w:autoSpaceDE w:val="0"/>
        <w:autoSpaceDN w:val="0"/>
        <w:adjustRightInd w:val="0"/>
        <w:spacing w:after="0" w:line="240" w:lineRule="auto"/>
        <w:jc w:val="both"/>
        <w:rPr>
          <w:rFonts w:eastAsia="Calibri" w:cs="Calibri"/>
          <w:lang w:eastAsia="it-IT"/>
        </w:rPr>
      </w:pPr>
    </w:p>
    <w:p w14:paraId="78EEDE14" w14:textId="77777777" w:rsidR="006B311C" w:rsidRDefault="006B311C" w:rsidP="00BB2AF8">
      <w:pPr>
        <w:autoSpaceDE w:val="0"/>
        <w:autoSpaceDN w:val="0"/>
        <w:adjustRightInd w:val="0"/>
        <w:spacing w:after="0" w:line="240" w:lineRule="auto"/>
        <w:jc w:val="both"/>
        <w:rPr>
          <w:rFonts w:eastAsia="Calibri" w:cs="Calibri"/>
          <w:lang w:eastAsia="it-IT"/>
        </w:rPr>
      </w:pPr>
    </w:p>
    <w:p w14:paraId="7ECA8D7D" w14:textId="77777777" w:rsidR="006B311C" w:rsidRPr="00666CCE" w:rsidRDefault="006B311C" w:rsidP="00BB2AF8">
      <w:pPr>
        <w:autoSpaceDE w:val="0"/>
        <w:autoSpaceDN w:val="0"/>
        <w:adjustRightInd w:val="0"/>
        <w:spacing w:after="0" w:line="240" w:lineRule="auto"/>
        <w:jc w:val="both"/>
        <w:rPr>
          <w:rFonts w:eastAsia="Calibri" w:cs="Calibri"/>
          <w:lang w:eastAsia="it-IT"/>
        </w:rPr>
      </w:pPr>
    </w:p>
    <w:p w14:paraId="3BA2E7BA" w14:textId="20817E3A"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5) QUAL È IL RAPPORTO BENEFICIO/RISCHIO DI</w:t>
      </w:r>
      <w:r w:rsidR="00F06CB7">
        <w:rPr>
          <w:rFonts w:eastAsia="Calibri" w:cs="Calibri"/>
          <w:b/>
          <w:color w:val="000000"/>
          <w:lang w:eastAsia="it-IT"/>
        </w:rPr>
        <w:t xml:space="preserve"> </w:t>
      </w:r>
      <w:r w:rsidR="00A57CE8">
        <w:rPr>
          <w:rFonts w:eastAsia="Calibri" w:cs="Calibri"/>
          <w:b/>
          <w:color w:val="000000"/>
          <w:lang w:eastAsia="it-IT"/>
        </w:rPr>
        <w:t>GANCICLOVIR MEDAC</w:t>
      </w:r>
      <w:r w:rsidRPr="009B03DB">
        <w:rPr>
          <w:rFonts w:eastAsia="Calibri" w:cs="Calibri"/>
          <w:b/>
          <w:lang w:eastAsia="it-IT"/>
        </w:rPr>
        <w:t>?</w:t>
      </w:r>
      <w:r w:rsidRPr="002A3F14">
        <w:rPr>
          <w:rFonts w:eastAsia="Calibri" w:cs="Calibri"/>
          <w:lang w:eastAsia="it-IT"/>
        </w:rPr>
        <w:t xml:space="preserve"> </w:t>
      </w:r>
    </w:p>
    <w:p w14:paraId="73A09306" w14:textId="43650C85" w:rsidR="00BB2AF8" w:rsidRPr="002A3F14" w:rsidRDefault="00A57CE8" w:rsidP="00BB2AF8">
      <w:pPr>
        <w:autoSpaceDE w:val="0"/>
        <w:autoSpaceDN w:val="0"/>
        <w:adjustRightInd w:val="0"/>
        <w:spacing w:after="0" w:line="240" w:lineRule="auto"/>
        <w:jc w:val="both"/>
        <w:rPr>
          <w:rFonts w:eastAsia="Calibri" w:cs="Calibri"/>
          <w:lang w:eastAsia="it-IT"/>
        </w:rPr>
      </w:pPr>
      <w:proofErr w:type="spellStart"/>
      <w:r>
        <w:rPr>
          <w:rFonts w:ascii="Calibri" w:hAnsi="Calibri" w:cs="Arial"/>
          <w:b/>
          <w:i/>
          <w:sz w:val="20"/>
        </w:rPr>
        <w:t>Ganciclovir</w:t>
      </w:r>
      <w:proofErr w:type="spellEnd"/>
      <w:r>
        <w:rPr>
          <w:rFonts w:ascii="Calibri" w:hAnsi="Calibri" w:cs="Arial"/>
          <w:b/>
          <w:i/>
          <w:sz w:val="20"/>
        </w:rPr>
        <w:t xml:space="preserve"> </w:t>
      </w:r>
      <w:proofErr w:type="spellStart"/>
      <w:r>
        <w:rPr>
          <w:rFonts w:ascii="Calibri" w:hAnsi="Calibri" w:cs="Arial"/>
          <w:b/>
          <w:i/>
          <w:sz w:val="20"/>
        </w:rPr>
        <w:t>Medac</w:t>
      </w:r>
      <w:proofErr w:type="spellEnd"/>
      <w:r w:rsidR="00F06CB7">
        <w:rPr>
          <w:rFonts w:ascii="Calibri" w:hAnsi="Calibri" w:cs="Arial"/>
          <w:b/>
          <w:i/>
          <w:sz w:val="20"/>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72353FD1" w14:textId="77777777" w:rsidR="00BB2AF8" w:rsidRDefault="00BB2AF8" w:rsidP="00BB2AF8">
      <w:pPr>
        <w:autoSpaceDE w:val="0"/>
        <w:autoSpaceDN w:val="0"/>
        <w:adjustRightInd w:val="0"/>
        <w:spacing w:after="0" w:line="240" w:lineRule="auto"/>
        <w:jc w:val="both"/>
        <w:rPr>
          <w:rFonts w:eastAsia="Calibri" w:cs="Calibri"/>
          <w:lang w:eastAsia="it-IT"/>
        </w:rPr>
      </w:pPr>
    </w:p>
    <w:p w14:paraId="7FDE31D4"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0A2A8A6E" w14:textId="7A0059FF"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6) PERCH</w:t>
      </w:r>
      <w:r w:rsidR="002176B5">
        <w:rPr>
          <w:rFonts w:eastAsia="Calibri" w:cstheme="minorHAnsi"/>
          <w:b/>
          <w:bCs/>
          <w:lang w:eastAsia="it-IT"/>
        </w:rPr>
        <w:t>È</w:t>
      </w:r>
      <w:r w:rsidRPr="00666CCE">
        <w:rPr>
          <w:rFonts w:eastAsia="Calibri" w:cs="Calibri"/>
          <w:b/>
          <w:bCs/>
          <w:lang w:eastAsia="it-IT"/>
        </w:rPr>
        <w:t xml:space="preserve"> </w:t>
      </w:r>
      <w:r w:rsidR="00A57CE8">
        <w:rPr>
          <w:rFonts w:eastAsia="Calibri" w:cs="Calibri"/>
          <w:b/>
          <w:color w:val="000000"/>
          <w:lang w:eastAsia="it-IT"/>
        </w:rPr>
        <w:t>GANCICLOVIR MEDAC</w:t>
      </w:r>
      <w:r w:rsidR="00B251F9">
        <w:rPr>
          <w:rFonts w:eastAsia="Calibri" w:cs="Calibri"/>
          <w:b/>
          <w:color w:val="000000"/>
          <w:lang w:eastAsia="it-IT"/>
        </w:rPr>
        <w:t xml:space="preserve"> </w:t>
      </w:r>
      <w:r w:rsidR="002176B5">
        <w:rPr>
          <w:rFonts w:eastAsia="Calibri" w:cstheme="minorHAnsi"/>
          <w:b/>
          <w:color w:val="000000"/>
          <w:lang w:eastAsia="it-IT"/>
        </w:rPr>
        <w:t>È</w:t>
      </w:r>
      <w:r w:rsidRPr="00666CCE">
        <w:rPr>
          <w:rFonts w:eastAsia="Calibri" w:cs="Calibri"/>
          <w:b/>
          <w:bCs/>
          <w:lang w:eastAsia="it-IT"/>
        </w:rPr>
        <w:t xml:space="preserve"> STATO APPROVATO? </w:t>
      </w:r>
    </w:p>
    <w:p w14:paraId="1D0D4D8B" w14:textId="17903B12" w:rsidR="00BB2AF8" w:rsidRPr="00CB3303" w:rsidRDefault="00BB2AF8" w:rsidP="008433FF">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sidR="008A2E78">
        <w:rPr>
          <w:rFonts w:eastAsia="Calibri" w:cs="Calibri"/>
          <w:lang w:eastAsia="it-IT"/>
        </w:rPr>
        <w:t xml:space="preserve"> nella </w:t>
      </w:r>
      <w:r>
        <w:rPr>
          <w:rFonts w:eastAsia="Calibri" w:cs="Calibri"/>
          <w:lang w:eastAsia="it-IT"/>
        </w:rPr>
        <w:t>riunione</w:t>
      </w:r>
      <w:r w:rsidR="00FE5D32">
        <w:rPr>
          <w:rFonts w:eastAsia="Calibri" w:cs="Calibri"/>
          <w:lang w:eastAsia="it-IT"/>
        </w:rPr>
        <w:t xml:space="preserve"> </w:t>
      </w:r>
      <w:r w:rsidR="0043227F">
        <w:rPr>
          <w:rFonts w:eastAsia="Calibri" w:cs="Calibri"/>
          <w:lang w:eastAsia="it-IT"/>
        </w:rPr>
        <w:t xml:space="preserve">del </w:t>
      </w:r>
      <w:r w:rsidR="0043227F" w:rsidRPr="0043227F">
        <w:rPr>
          <w:rFonts w:eastAsia="Calibri" w:cs="Calibri"/>
          <w:lang w:eastAsia="it-IT"/>
        </w:rPr>
        <w:t>9, 10 e 11 Dicembre 2020</w:t>
      </w:r>
      <w:bookmarkStart w:id="1" w:name="_GoBack"/>
      <w:bookmarkEnd w:id="1"/>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proofErr w:type="spellStart"/>
      <w:r w:rsidR="00B42950">
        <w:rPr>
          <w:rFonts w:eastAsia="Calibri" w:cs="Calibri"/>
          <w:lang w:eastAsia="it-IT"/>
        </w:rPr>
        <w:t>Citovirax</w:t>
      </w:r>
      <w:proofErr w:type="spellEnd"/>
      <w:r>
        <w:rPr>
          <w:rFonts w:eastAsia="Calibri" w:cs="Calibri"/>
          <w:lang w:eastAsia="it-IT"/>
        </w:rPr>
        <w:t xml:space="preserve">, </w:t>
      </w:r>
      <w:r w:rsidRPr="00666CCE">
        <w:rPr>
          <w:rFonts w:eastAsia="Calibri" w:cs="Calibri"/>
          <w:lang w:eastAsia="it-IT"/>
        </w:rPr>
        <w:t xml:space="preserve">i benefici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proofErr w:type="gramStart"/>
      <w:r w:rsidR="00A57CE8">
        <w:rPr>
          <w:rFonts w:eastAsia="Calibri" w:cs="Calibri"/>
          <w:color w:val="000000"/>
          <w:lang w:eastAsia="it-IT"/>
        </w:rPr>
        <w:t>Medac</w:t>
      </w:r>
      <w:proofErr w:type="spellEnd"/>
      <w:r w:rsidR="0043227F">
        <w:rPr>
          <w:rFonts w:eastAsia="Calibri" w:cs="Calibri"/>
          <w:color w:val="000000"/>
          <w:lang w:eastAsia="it-IT"/>
        </w:rPr>
        <w:t xml:space="preserve"> </w:t>
      </w:r>
      <w:r w:rsidR="00B251F9">
        <w:rPr>
          <w:rFonts w:eastAsia="Calibri" w:cs="Calibri"/>
          <w:color w:val="000000"/>
          <w:lang w:eastAsia="it-IT"/>
        </w:rPr>
        <w:t xml:space="preserve"> </w:t>
      </w:r>
      <w:r w:rsidRPr="00666CCE">
        <w:rPr>
          <w:rFonts w:eastAsia="Calibri" w:cs="Calibri"/>
          <w:lang w:eastAsia="it-IT"/>
        </w:rPr>
        <w:t>sono</w:t>
      </w:r>
      <w:proofErr w:type="gramEnd"/>
      <w:r w:rsidRPr="00666CCE">
        <w:rPr>
          <w:rFonts w:eastAsia="Calibri" w:cs="Calibri"/>
          <w:lang w:eastAsia="it-IT"/>
        </w:rPr>
        <w:t xml:space="preserve">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w:t>
      </w:r>
      <w:r w:rsidRPr="00CB3303">
        <w:rPr>
          <w:rFonts w:eastAsia="Calibri" w:cs="Calibri"/>
          <w:lang w:eastAsia="it-IT"/>
        </w:rPr>
        <w:t>(</w:t>
      </w:r>
      <w:r w:rsidR="00B42950">
        <w:rPr>
          <w:rFonts w:eastAsia="Calibri" w:cs="Calibri"/>
          <w:lang w:eastAsia="it-IT"/>
        </w:rPr>
        <w:t>H</w:t>
      </w:r>
      <w:r w:rsidRPr="00CB3303">
        <w:rPr>
          <w:rFonts w:eastAsia="Calibri" w:cs="Calibri"/>
          <w:lang w:eastAsia="it-IT"/>
        </w:rPr>
        <w:t xml:space="preserve">). </w:t>
      </w:r>
    </w:p>
    <w:p w14:paraId="22648E16"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06ABAB80" w14:textId="77777777" w:rsidR="00BB2AF8" w:rsidRPr="002A3F14" w:rsidRDefault="00BB2AF8" w:rsidP="004241AC">
      <w:pPr>
        <w:autoSpaceDE w:val="0"/>
        <w:autoSpaceDN w:val="0"/>
        <w:adjustRightInd w:val="0"/>
        <w:spacing w:after="0" w:line="240" w:lineRule="auto"/>
        <w:jc w:val="both"/>
        <w:rPr>
          <w:rFonts w:eastAsia="Calibri" w:cs="Calibri"/>
          <w:b/>
          <w:bCs/>
          <w:lang w:eastAsia="it-IT"/>
        </w:rPr>
      </w:pPr>
    </w:p>
    <w:p w14:paraId="02DF083F" w14:textId="7D966589"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A57CE8">
        <w:rPr>
          <w:rFonts w:eastAsia="Calibri" w:cs="Calibri"/>
          <w:b/>
          <w:color w:val="000000"/>
          <w:lang w:eastAsia="it-IT"/>
        </w:rPr>
        <w:t>GANCICLOVIR MEDAC</w:t>
      </w:r>
      <w:r w:rsidRPr="002A3F14">
        <w:rPr>
          <w:rFonts w:eastAsia="Calibri" w:cs="Calibri"/>
          <w:b/>
          <w:bCs/>
          <w:color w:val="000000"/>
          <w:lang w:eastAsia="it-IT"/>
        </w:rPr>
        <w:t>?</w:t>
      </w:r>
    </w:p>
    <w:p w14:paraId="414C1BF3" w14:textId="6C199C58"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in accordo con quanto richiesto dalla Direttiva 2001/83/CE e successivi emendamenti, descrivendo le attività di Farmacovigilanza e gli interventi finalizzati ad identificare, caratterizzare, prevenire o minimizz</w:t>
      </w:r>
      <w:r w:rsidR="0062432F">
        <w:rPr>
          <w:rFonts w:eastAsia="Calibri" w:cs="Calibri"/>
          <w:lang w:eastAsia="it-IT"/>
        </w:rPr>
        <w:t>are i rischi correlati a</w:t>
      </w:r>
      <w:r w:rsidR="00977362">
        <w:rPr>
          <w:rFonts w:eastAsia="Calibri" w:cs="Calibri"/>
          <w:lang w:eastAsia="it-IT"/>
        </w:rPr>
        <w:t xml:space="preserve"> </w:t>
      </w:r>
      <w:proofErr w:type="spellStart"/>
      <w:r w:rsidR="00A57CE8">
        <w:rPr>
          <w:rFonts w:eastAsia="Calibri" w:cs="Calibri"/>
          <w:lang w:eastAsia="it-IT"/>
        </w:rPr>
        <w:t>Ganciclovir</w:t>
      </w:r>
      <w:proofErr w:type="spellEnd"/>
      <w:r w:rsidR="00A57CE8">
        <w:rPr>
          <w:rFonts w:eastAsia="Calibri" w:cs="Calibri"/>
          <w:lang w:eastAsia="it-IT"/>
        </w:rPr>
        <w:t xml:space="preserve"> </w:t>
      </w:r>
      <w:proofErr w:type="spellStart"/>
      <w:r w:rsidR="00A57CE8">
        <w:rPr>
          <w:rFonts w:eastAsia="Calibri" w:cs="Calibri"/>
          <w:lang w:eastAsia="it-IT"/>
        </w:rPr>
        <w:t>Medac</w:t>
      </w:r>
      <w:proofErr w:type="spellEnd"/>
      <w:r w:rsidR="004241AC" w:rsidRPr="007170D7">
        <w:rPr>
          <w:rFonts w:eastAsia="Calibri" w:cs="Calibri"/>
          <w:lang w:eastAsia="it-IT"/>
        </w:rPr>
        <w:t>.</w:t>
      </w:r>
    </w:p>
    <w:p w14:paraId="1FD90290" w14:textId="77777777" w:rsidR="004241AC" w:rsidRDefault="004241AC" w:rsidP="004241AC">
      <w:pPr>
        <w:autoSpaceDE w:val="0"/>
        <w:autoSpaceDN w:val="0"/>
        <w:adjustRightInd w:val="0"/>
        <w:spacing w:after="0" w:line="240" w:lineRule="auto"/>
        <w:jc w:val="both"/>
        <w:rPr>
          <w:rFonts w:eastAsia="Calibri" w:cs="Calibri"/>
          <w:lang w:eastAsia="it-IT"/>
        </w:rPr>
      </w:pPr>
    </w:p>
    <w:p w14:paraId="63440B27" w14:textId="77777777" w:rsidR="004241AC" w:rsidRPr="002A3F14" w:rsidRDefault="004241AC" w:rsidP="004241AC">
      <w:pPr>
        <w:autoSpaceDE w:val="0"/>
        <w:autoSpaceDN w:val="0"/>
        <w:adjustRightInd w:val="0"/>
        <w:spacing w:after="0" w:line="240" w:lineRule="auto"/>
        <w:jc w:val="both"/>
        <w:rPr>
          <w:rFonts w:eastAsia="Calibri" w:cs="Calibri"/>
          <w:lang w:eastAsia="it-IT"/>
        </w:rPr>
      </w:pPr>
    </w:p>
    <w:p w14:paraId="446CC3E4" w14:textId="004994FA"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A57CE8">
        <w:rPr>
          <w:rFonts w:eastAsia="Calibri" w:cs="Calibri"/>
          <w:b/>
          <w:color w:val="000000"/>
          <w:lang w:eastAsia="it-IT"/>
        </w:rPr>
        <w:t>GANCICLOVIR MEDAC</w:t>
      </w:r>
    </w:p>
    <w:p w14:paraId="1BA3CAD0" w14:textId="799F40F5"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783368" w:rsidRPr="008A2E78">
        <w:rPr>
          <w:rFonts w:eastAsia="Calibri" w:cs="Calibri"/>
          <w:b/>
          <w:bCs/>
          <w:iCs/>
          <w:lang w:eastAsia="it-IT"/>
        </w:rPr>
        <w:t>0</w:t>
      </w:r>
      <w:r w:rsidR="007D5BF5" w:rsidRPr="008A2E78">
        <w:rPr>
          <w:rFonts w:eastAsia="Calibri" w:cs="Calibri"/>
          <w:b/>
          <w:bCs/>
          <w:iCs/>
          <w:lang w:eastAsia="it-IT"/>
        </w:rPr>
        <w:t>7</w:t>
      </w:r>
      <w:r w:rsidR="00783368" w:rsidRPr="008A2E78">
        <w:rPr>
          <w:rFonts w:eastAsia="Calibri" w:cs="Calibri"/>
          <w:b/>
          <w:bCs/>
          <w:iCs/>
          <w:lang w:eastAsia="it-IT"/>
        </w:rPr>
        <w:t>/0</w:t>
      </w:r>
      <w:r w:rsidR="007D5BF5" w:rsidRPr="008A2E78">
        <w:rPr>
          <w:rFonts w:eastAsia="Calibri" w:cs="Calibri"/>
          <w:b/>
          <w:bCs/>
          <w:iCs/>
          <w:lang w:eastAsia="it-IT"/>
        </w:rPr>
        <w:t>4</w:t>
      </w:r>
      <w:r w:rsidR="00783368" w:rsidRPr="008A2E78">
        <w:rPr>
          <w:rFonts w:eastAsia="Calibri" w:cs="Calibri"/>
          <w:b/>
          <w:bCs/>
          <w:iCs/>
          <w:lang w:eastAsia="it-IT"/>
        </w:rPr>
        <w:t>/2021</w:t>
      </w:r>
      <w:r w:rsidR="002176B5" w:rsidRPr="00BB2AF8">
        <w:rPr>
          <w:rFonts w:eastAsia="Calibri" w:cs="Calibri"/>
          <w:bCs/>
          <w:iCs/>
          <w:lang w:eastAsia="it-IT"/>
        </w:rPr>
        <w:t xml:space="preserve"> </w:t>
      </w:r>
      <w:r w:rsidRPr="00BB2AF8">
        <w:rPr>
          <w:rFonts w:eastAsia="Calibri" w:cs="Calibri"/>
          <w:bCs/>
          <w:iCs/>
          <w:lang w:eastAsia="it-IT"/>
        </w:rPr>
        <w:t>l’AIFA ha rilasciato l’autorizzazione all’immissione in commercio di</w:t>
      </w:r>
      <w:r w:rsidR="00EC7E6B">
        <w:rPr>
          <w:rFonts w:eastAsia="Calibri" w:cs="Calibri"/>
          <w:color w:val="000000"/>
          <w:lang w:eastAsia="it-IT"/>
        </w:rPr>
        <w:t xml:space="preserv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Pr="007170D7">
        <w:rPr>
          <w:rFonts w:eastAsia="Calibri" w:cs="Calibri"/>
          <w:bCs/>
          <w:lang w:eastAsia="it-IT"/>
        </w:rPr>
        <w:t>.</w:t>
      </w:r>
      <w:r w:rsidRPr="00CA3A1E">
        <w:rPr>
          <w:rFonts w:eastAsia="Calibri" w:cs="Calibri"/>
          <w:bCs/>
          <w:lang w:eastAsia="it-IT"/>
        </w:rPr>
        <w:t xml:space="preserve"> </w:t>
      </w:r>
    </w:p>
    <w:p w14:paraId="75A83DE3" w14:textId="77777777" w:rsidR="004E5A39" w:rsidRDefault="004E5A39" w:rsidP="004241AC">
      <w:pPr>
        <w:autoSpaceDE w:val="0"/>
        <w:autoSpaceDN w:val="0"/>
        <w:adjustRightInd w:val="0"/>
        <w:spacing w:after="0" w:line="240" w:lineRule="auto"/>
        <w:jc w:val="both"/>
        <w:rPr>
          <w:rFonts w:eastAsia="Calibri" w:cs="Calibri"/>
          <w:lang w:eastAsia="it-IT"/>
        </w:rPr>
      </w:pPr>
    </w:p>
    <w:p w14:paraId="525B33BC"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0FDCA052" w14:textId="6A47B331"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020D88">
        <w:rPr>
          <w:rFonts w:eastAsia="Calibri" w:cs="Calibri"/>
          <w:color w:val="000000"/>
          <w:lang w:eastAsia="it-IT"/>
        </w:rPr>
        <w:t xml:space="preserve"> </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8"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1DFF2848" w14:textId="77777777" w:rsidR="004241AC" w:rsidRDefault="004241AC" w:rsidP="004241AC">
      <w:pPr>
        <w:spacing w:after="0" w:line="240" w:lineRule="auto"/>
        <w:jc w:val="both"/>
        <w:rPr>
          <w:rFonts w:eastAsia="Calibri" w:cs="Calibri"/>
          <w:lang w:eastAsia="it-IT"/>
        </w:rPr>
      </w:pPr>
    </w:p>
    <w:p w14:paraId="60B9185D" w14:textId="77777777" w:rsidR="004241AC" w:rsidRDefault="004241AC" w:rsidP="004241AC">
      <w:pPr>
        <w:spacing w:after="0" w:line="240" w:lineRule="auto"/>
        <w:jc w:val="both"/>
        <w:rPr>
          <w:rFonts w:eastAsia="Calibri" w:cs="Calibri"/>
          <w:lang w:eastAsia="it-IT"/>
        </w:rPr>
      </w:pPr>
    </w:p>
    <w:p w14:paraId="37E88931" w14:textId="33C6EABD"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data</w:t>
      </w:r>
      <w:r w:rsidR="00FD7FBB">
        <w:rPr>
          <w:rFonts w:eastAsia="Calibri" w:cs="Calibri"/>
          <w:lang w:eastAsia="it-IT"/>
        </w:rPr>
        <w:t xml:space="preserve"> </w:t>
      </w:r>
      <w:r w:rsidR="007D5BF5">
        <w:rPr>
          <w:rFonts w:eastAsia="Calibri" w:cs="Calibri"/>
          <w:lang w:eastAsia="it-IT"/>
        </w:rPr>
        <w:t>03</w:t>
      </w:r>
      <w:r w:rsidR="0043227F">
        <w:rPr>
          <w:rFonts w:eastAsia="Calibri" w:cs="Calibri"/>
          <w:lang w:eastAsia="it-IT"/>
        </w:rPr>
        <w:t xml:space="preserve"> </w:t>
      </w:r>
      <w:proofErr w:type="gramStart"/>
      <w:r w:rsidR="0043227F">
        <w:rPr>
          <w:rFonts w:eastAsia="Calibri" w:cs="Calibri"/>
          <w:lang w:eastAsia="it-IT"/>
        </w:rPr>
        <w:t>Dicembre</w:t>
      </w:r>
      <w:proofErr w:type="gramEnd"/>
      <w:r w:rsidR="0043227F">
        <w:rPr>
          <w:rFonts w:eastAsia="Calibri" w:cs="Calibri"/>
          <w:lang w:eastAsia="it-IT"/>
        </w:rPr>
        <w:t xml:space="preserve"> </w:t>
      </w:r>
      <w:r w:rsidR="00FD7FBB">
        <w:rPr>
          <w:rFonts w:eastAsia="Calibri" w:cs="Calibri"/>
          <w:lang w:eastAsia="it-IT"/>
        </w:rPr>
        <w:t>2021</w:t>
      </w:r>
      <w:r w:rsidRPr="002A3F14">
        <w:rPr>
          <w:rFonts w:eastAsia="Calibri" w:cs="Calibri"/>
          <w:lang w:eastAsia="it-IT"/>
        </w:rPr>
        <w:t xml:space="preserve">. </w:t>
      </w:r>
    </w:p>
    <w:p w14:paraId="6EE3FBBB" w14:textId="77777777" w:rsidR="004E5A39" w:rsidRDefault="004E5A39" w:rsidP="004E5A39">
      <w:pPr>
        <w:spacing w:after="0" w:line="240" w:lineRule="auto"/>
        <w:jc w:val="center"/>
        <w:rPr>
          <w:b/>
          <w:sz w:val="28"/>
        </w:rPr>
      </w:pPr>
    </w:p>
    <w:p w14:paraId="3B3D3A75" w14:textId="77777777" w:rsidR="007170D7" w:rsidRDefault="007170D7" w:rsidP="00E13115">
      <w:pPr>
        <w:spacing w:after="0" w:line="240" w:lineRule="auto"/>
        <w:rPr>
          <w:b/>
          <w:sz w:val="28"/>
        </w:rPr>
      </w:pPr>
    </w:p>
    <w:p w14:paraId="36F8685B" w14:textId="77777777" w:rsidR="007170D7" w:rsidRDefault="007170D7" w:rsidP="004E5A39">
      <w:pPr>
        <w:spacing w:after="0" w:line="240" w:lineRule="auto"/>
        <w:jc w:val="center"/>
        <w:rPr>
          <w:b/>
          <w:sz w:val="28"/>
        </w:rPr>
      </w:pPr>
    </w:p>
    <w:p w14:paraId="72C83A54" w14:textId="77777777" w:rsidR="007170D7" w:rsidRDefault="007170D7" w:rsidP="004E5A39">
      <w:pPr>
        <w:spacing w:after="0" w:line="240" w:lineRule="auto"/>
        <w:jc w:val="center"/>
        <w:rPr>
          <w:b/>
          <w:sz w:val="28"/>
        </w:rPr>
      </w:pPr>
    </w:p>
    <w:p w14:paraId="0672AF77" w14:textId="77777777" w:rsidR="007170D7" w:rsidRDefault="007170D7" w:rsidP="004E5A39">
      <w:pPr>
        <w:spacing w:after="0" w:line="240" w:lineRule="auto"/>
        <w:jc w:val="center"/>
        <w:rPr>
          <w:b/>
          <w:sz w:val="28"/>
        </w:rPr>
      </w:pPr>
    </w:p>
    <w:p w14:paraId="78C220F3" w14:textId="77777777" w:rsidR="004E5A39" w:rsidRDefault="004E5A39" w:rsidP="004E5A39">
      <w:pPr>
        <w:spacing w:after="0" w:line="240" w:lineRule="auto"/>
        <w:jc w:val="center"/>
        <w:rPr>
          <w:b/>
          <w:sz w:val="28"/>
        </w:rPr>
      </w:pPr>
      <w:r>
        <w:rPr>
          <w:b/>
          <w:sz w:val="28"/>
        </w:rPr>
        <w:t>RELAZIONE PUBBLICA DI VALUTAZIONE</w:t>
      </w:r>
    </w:p>
    <w:p w14:paraId="4A76F75F" w14:textId="77777777" w:rsidR="004E5A39" w:rsidRDefault="004E5A39" w:rsidP="004E5A39">
      <w:pPr>
        <w:spacing w:after="0" w:line="240" w:lineRule="auto"/>
        <w:jc w:val="center"/>
        <w:rPr>
          <w:b/>
        </w:rPr>
      </w:pPr>
    </w:p>
    <w:p w14:paraId="50FCE355" w14:textId="77777777" w:rsidR="004E5A39" w:rsidRDefault="004E5A39" w:rsidP="004E5A39">
      <w:pPr>
        <w:spacing w:after="0" w:line="240" w:lineRule="auto"/>
        <w:jc w:val="center"/>
        <w:rPr>
          <w:b/>
        </w:rPr>
      </w:pPr>
    </w:p>
    <w:p w14:paraId="10AA1C55" w14:textId="77777777" w:rsidR="004E5A39" w:rsidRDefault="004E5A39" w:rsidP="004E5A39">
      <w:pPr>
        <w:spacing w:after="0" w:line="240" w:lineRule="auto"/>
        <w:jc w:val="center"/>
        <w:rPr>
          <w:b/>
        </w:rPr>
      </w:pPr>
    </w:p>
    <w:p w14:paraId="690DA44B" w14:textId="77777777" w:rsidR="004E5A39" w:rsidRDefault="004E5A39" w:rsidP="004E5A39">
      <w:pPr>
        <w:spacing w:after="0" w:line="240" w:lineRule="auto"/>
        <w:jc w:val="center"/>
        <w:rPr>
          <w:b/>
        </w:rPr>
      </w:pPr>
    </w:p>
    <w:p w14:paraId="4B64D306" w14:textId="77777777" w:rsidR="004E5A39" w:rsidRPr="0033523E" w:rsidRDefault="004E5A39" w:rsidP="004E5A39">
      <w:pPr>
        <w:spacing w:after="0" w:line="240" w:lineRule="auto"/>
        <w:jc w:val="center"/>
        <w:rPr>
          <w:b/>
        </w:rPr>
      </w:pPr>
      <w:r w:rsidRPr="0033523E">
        <w:rPr>
          <w:b/>
        </w:rPr>
        <w:t>INDICE</w:t>
      </w:r>
    </w:p>
    <w:p w14:paraId="760057BB" w14:textId="77777777" w:rsidR="004E5A39" w:rsidRDefault="004E5A39" w:rsidP="004E5A39">
      <w:pPr>
        <w:spacing w:after="0" w:line="240" w:lineRule="auto"/>
        <w:jc w:val="both"/>
      </w:pPr>
    </w:p>
    <w:p w14:paraId="063296E0" w14:textId="77777777" w:rsidR="004E5A39" w:rsidRDefault="004E5A39" w:rsidP="004E5A39">
      <w:pPr>
        <w:spacing w:after="0" w:line="240" w:lineRule="auto"/>
        <w:jc w:val="both"/>
      </w:pPr>
    </w:p>
    <w:p w14:paraId="5DD2BF41" w14:textId="77777777" w:rsidR="004E5A39" w:rsidRDefault="004E5A39" w:rsidP="004E5A39">
      <w:pPr>
        <w:spacing w:after="0" w:line="240" w:lineRule="auto"/>
        <w:jc w:val="both"/>
      </w:pPr>
    </w:p>
    <w:p w14:paraId="78FFFD12"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0F9CA14A" w14:textId="77777777" w:rsidR="004E5A39" w:rsidRPr="002A3F14" w:rsidRDefault="004E5A39" w:rsidP="004E5A39">
      <w:pPr>
        <w:spacing w:after="0" w:line="240" w:lineRule="auto"/>
        <w:jc w:val="both"/>
      </w:pPr>
    </w:p>
    <w:p w14:paraId="06E45034"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7FE596D4" w14:textId="77777777" w:rsidR="004E5A39" w:rsidRPr="0033523E" w:rsidRDefault="004E5A39" w:rsidP="004E5A39">
      <w:pPr>
        <w:pStyle w:val="Paragrafoelenco"/>
        <w:rPr>
          <w:b/>
        </w:rPr>
      </w:pPr>
    </w:p>
    <w:p w14:paraId="25D84F35"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76637865" w14:textId="77777777" w:rsidR="004E5A39" w:rsidRPr="0033523E" w:rsidRDefault="004E5A39" w:rsidP="004E5A39">
      <w:pPr>
        <w:pStyle w:val="Paragrafoelenco"/>
        <w:rPr>
          <w:b/>
        </w:rPr>
      </w:pPr>
    </w:p>
    <w:p w14:paraId="610EBA38"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0D0AD62E" w14:textId="77777777" w:rsidR="004E5A39" w:rsidRPr="0033523E" w:rsidRDefault="004E5A39" w:rsidP="004E5A39">
      <w:pPr>
        <w:pStyle w:val="Paragrafoelenco"/>
        <w:rPr>
          <w:b/>
        </w:rPr>
      </w:pPr>
    </w:p>
    <w:p w14:paraId="73C76266"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4316CC08" w14:textId="77777777" w:rsidR="004E5A39" w:rsidRDefault="004E5A39" w:rsidP="004E5A39">
      <w:pPr>
        <w:pStyle w:val="Paragrafoelenco"/>
        <w:spacing w:after="0" w:line="240" w:lineRule="auto"/>
        <w:ind w:left="1080"/>
        <w:jc w:val="both"/>
        <w:rPr>
          <w:b/>
        </w:rPr>
      </w:pPr>
    </w:p>
    <w:p w14:paraId="5C9E14D0"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37915B76" w14:textId="77777777" w:rsidR="004E5A39" w:rsidRDefault="004E5A39" w:rsidP="004E5A39"/>
    <w:p w14:paraId="5E6E86EC" w14:textId="77777777" w:rsidR="00CC52A3" w:rsidRDefault="00CC52A3" w:rsidP="004E5A39"/>
    <w:p w14:paraId="513AE965" w14:textId="77777777" w:rsidR="00EF6711" w:rsidRDefault="00EF6711" w:rsidP="004E5A39"/>
    <w:p w14:paraId="5C18A37A" w14:textId="77777777" w:rsidR="004E5A39" w:rsidRPr="00AC6378" w:rsidRDefault="004E5A39" w:rsidP="00EF6711">
      <w:pPr>
        <w:pStyle w:val="Paragrafoelenco"/>
        <w:numPr>
          <w:ilvl w:val="0"/>
          <w:numId w:val="2"/>
        </w:numPr>
        <w:spacing w:after="0" w:line="240" w:lineRule="auto"/>
        <w:rPr>
          <w:b/>
        </w:rPr>
      </w:pPr>
      <w:r w:rsidRPr="00AC6378">
        <w:rPr>
          <w:b/>
        </w:rPr>
        <w:t>INTRODUZIONE</w:t>
      </w:r>
    </w:p>
    <w:p w14:paraId="38446CB7" w14:textId="282A209A" w:rsidR="004E5A39" w:rsidRPr="00EF6711" w:rsidRDefault="004E5A39" w:rsidP="00EF6711">
      <w:pPr>
        <w:autoSpaceDE w:val="0"/>
        <w:autoSpaceDN w:val="0"/>
        <w:adjustRightInd w:val="0"/>
        <w:spacing w:after="0" w:line="240" w:lineRule="auto"/>
        <w:jc w:val="both"/>
      </w:pPr>
      <w:r w:rsidRPr="00EF6711">
        <w:lastRenderedPageBreak/>
        <w:t xml:space="preserve">Sulla base dei dati di qualità, sicurezza ed efficacia, l’AIFA ha rilasciato </w:t>
      </w:r>
      <w:r w:rsidR="001D43E5">
        <w:t xml:space="preserve">a </w:t>
      </w:r>
      <w:proofErr w:type="spellStart"/>
      <w:r w:rsidR="003C6973" w:rsidRPr="003C6973">
        <w:t>Medac</w:t>
      </w:r>
      <w:proofErr w:type="spellEnd"/>
      <w:r w:rsidR="003C6973" w:rsidRPr="003C6973">
        <w:t xml:space="preserve"> </w:t>
      </w:r>
      <w:proofErr w:type="spellStart"/>
      <w:r w:rsidR="003C6973" w:rsidRPr="003C6973">
        <w:t>Pharma</w:t>
      </w:r>
      <w:proofErr w:type="spellEnd"/>
      <w:r w:rsidR="003C6973" w:rsidRPr="003C6973">
        <w:t xml:space="preserve"> S.r.l</w:t>
      </w:r>
      <w:r w:rsidR="003C6973">
        <w:t xml:space="preserve"> </w:t>
      </w:r>
      <w:r w:rsidRPr="00EF6711">
        <w:t xml:space="preserve">l’autorizzazione all’immissione in commercio (AIC) per il medicinale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783368">
        <w:rPr>
          <w:rFonts w:eastAsia="Calibri" w:cs="Calibri"/>
          <w:color w:val="000000"/>
          <w:lang w:eastAsia="it-IT"/>
        </w:rPr>
        <w:t xml:space="preserve"> </w:t>
      </w:r>
      <w:r w:rsidRPr="001D7AA7">
        <w:rPr>
          <w:rFonts w:eastAsia="Calibri" w:cs="Calibri"/>
          <w:bCs/>
          <w:iCs/>
          <w:lang w:eastAsia="it-IT"/>
        </w:rPr>
        <w:t xml:space="preserve">il </w:t>
      </w:r>
      <w:r w:rsidR="003C6973">
        <w:rPr>
          <w:rFonts w:eastAsia="Calibri" w:cs="Calibri"/>
          <w:bCs/>
          <w:iCs/>
          <w:lang w:eastAsia="it-IT"/>
        </w:rPr>
        <w:t>07/04</w:t>
      </w:r>
      <w:r w:rsidR="00783368">
        <w:rPr>
          <w:rFonts w:eastAsia="Calibri" w:cs="Calibri"/>
          <w:bCs/>
          <w:iCs/>
          <w:lang w:eastAsia="it-IT"/>
        </w:rPr>
        <w:t>/2021</w:t>
      </w:r>
      <w:r w:rsidR="00757FA2">
        <w:rPr>
          <w:rFonts w:eastAsia="Calibri" w:cs="Calibri"/>
          <w:bCs/>
          <w:iCs/>
          <w:lang w:eastAsia="it-IT"/>
        </w:rPr>
        <w:t>.</w:t>
      </w:r>
    </w:p>
    <w:p w14:paraId="340B89D0" w14:textId="77777777" w:rsidR="004E5A39" w:rsidRPr="00EF6711" w:rsidRDefault="004E5A39" w:rsidP="00EF6711">
      <w:pPr>
        <w:spacing w:after="0" w:line="240" w:lineRule="auto"/>
        <w:jc w:val="both"/>
      </w:pPr>
    </w:p>
    <w:p w14:paraId="39B2C887" w14:textId="71282DE6" w:rsidR="004E5A39" w:rsidRDefault="00A57CE8" w:rsidP="00EF671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5B0705">
        <w:rPr>
          <w:rFonts w:eastAsia="Calibri" w:cs="Calibri"/>
          <w:color w:val="000000"/>
          <w:lang w:eastAsia="it-IT"/>
        </w:rPr>
        <w:t xml:space="preserve"> </w:t>
      </w:r>
      <w:r w:rsidR="00D26545">
        <w:rPr>
          <w:rFonts w:eastAsia="Calibri" w:cs="Calibri"/>
          <w:color w:val="000000"/>
          <w:lang w:eastAsia="it-IT"/>
        </w:rPr>
        <w:t xml:space="preserve"> </w:t>
      </w:r>
      <w:r w:rsidR="007170D7">
        <w:rPr>
          <w:rFonts w:eastAsia="Calibri" w:cs="Calibri"/>
          <w:bCs/>
          <w:iCs/>
          <w:lang w:eastAsia="it-IT"/>
        </w:rPr>
        <w:t xml:space="preserve"> </w:t>
      </w:r>
      <w:r w:rsidR="003C6973" w:rsidRPr="003C6973">
        <w:rPr>
          <w:rFonts w:eastAsia="Calibri" w:cs="Calibri"/>
          <w:bCs/>
          <w:iCs/>
          <w:lang w:eastAsia="it-IT"/>
        </w:rPr>
        <w:t xml:space="preserve">è </w:t>
      </w:r>
      <w:r w:rsidR="008A2E78">
        <w:rPr>
          <w:rFonts w:eastAsia="Calibri" w:cs="Calibri"/>
          <w:bCs/>
          <w:iCs/>
          <w:lang w:eastAsia="it-IT"/>
        </w:rPr>
        <w:t xml:space="preserve">un </w:t>
      </w:r>
      <w:r w:rsidR="003C6973" w:rsidRPr="003C6973">
        <w:rPr>
          <w:rFonts w:eastAsia="Calibri" w:cs="Calibri"/>
          <w:bCs/>
          <w:iCs/>
          <w:lang w:eastAsia="it-IT"/>
        </w:rPr>
        <w:t>medicinale per uso esclusivo negli ospedali e nelle strutture ad essi assimilate, come le case di cura.</w:t>
      </w:r>
    </w:p>
    <w:p w14:paraId="1AC3C653" w14:textId="77777777" w:rsidR="00EF6711" w:rsidRPr="00EF6711" w:rsidRDefault="00EF6711" w:rsidP="00EF6711">
      <w:pPr>
        <w:autoSpaceDE w:val="0"/>
        <w:autoSpaceDN w:val="0"/>
        <w:adjustRightInd w:val="0"/>
        <w:spacing w:after="0" w:line="240" w:lineRule="auto"/>
        <w:jc w:val="both"/>
      </w:pPr>
    </w:p>
    <w:p w14:paraId="639C2B7A" w14:textId="1E0F34C3" w:rsidR="004E5A39" w:rsidRPr="00EF6711" w:rsidRDefault="004E5A39" w:rsidP="00EF6711">
      <w:pPr>
        <w:spacing w:after="0" w:line="240" w:lineRule="auto"/>
        <w:jc w:val="both"/>
      </w:pPr>
      <w:r w:rsidRPr="00EF6711">
        <w:t>Questa procedura è stata presentata ai sensi dell’art</w:t>
      </w:r>
      <w:r w:rsidR="001340E7">
        <w:t xml:space="preserve"> 10(1)</w:t>
      </w:r>
      <w:r w:rsidRPr="00EF6711">
        <w:t xml:space="preserve"> della Direttiva 2001/83/EU </w:t>
      </w:r>
      <w:proofErr w:type="spellStart"/>
      <w:r w:rsidRPr="00EF6711">
        <w:t>s.m.i.</w:t>
      </w:r>
      <w:proofErr w:type="spellEnd"/>
    </w:p>
    <w:p w14:paraId="793CD28A" w14:textId="77777777" w:rsidR="004E5A39" w:rsidRDefault="004E5A39" w:rsidP="00EF6711">
      <w:pPr>
        <w:widowControl w:val="0"/>
        <w:spacing w:after="0" w:line="240" w:lineRule="auto"/>
        <w:jc w:val="both"/>
        <w:rPr>
          <w:rFonts w:eastAsia="Calibri" w:cs="Calibri"/>
          <w:bCs/>
          <w:lang w:eastAsia="it-IT"/>
        </w:rPr>
      </w:pPr>
    </w:p>
    <w:p w14:paraId="2D65F590" w14:textId="4A0B0885" w:rsidR="004E5A39" w:rsidRPr="00EF6711" w:rsidRDefault="00A57CE8" w:rsidP="00EF6711">
      <w:pPr>
        <w:widowControl w:val="0"/>
        <w:spacing w:after="0" w:line="240" w:lineRule="auto"/>
        <w:jc w:val="both"/>
        <w:rPr>
          <w:rFonts w:eastAsia="Calibri" w:cs="Calibri"/>
          <w:lang w:eastAsia="it-IT"/>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42214D">
        <w:rPr>
          <w:rFonts w:eastAsia="Calibri" w:cs="Calibri"/>
          <w:color w:val="000000"/>
          <w:lang w:eastAsia="it-IT"/>
        </w:rPr>
        <w:t xml:space="preserve"> </w:t>
      </w:r>
      <w:r w:rsidR="004E5A39" w:rsidRPr="00EF6711">
        <w:rPr>
          <w:rFonts w:eastAsia="Calibri" w:cs="Calibri"/>
          <w:lang w:eastAsia="it-IT"/>
        </w:rPr>
        <w:t>è un medicinale contenente un principio attivo</w:t>
      </w:r>
      <w:r w:rsidR="002E5363">
        <w:rPr>
          <w:rFonts w:eastAsia="Calibri" w:cs="Calibri"/>
          <w:lang w:eastAsia="it-IT"/>
        </w:rPr>
        <w:t xml:space="preserve">, </w:t>
      </w:r>
      <w:proofErr w:type="spellStart"/>
      <w:proofErr w:type="gramStart"/>
      <w:r w:rsidR="003C6973">
        <w:rPr>
          <w:rFonts w:eastAsia="Calibri" w:cs="Calibri"/>
          <w:color w:val="000000"/>
          <w:lang w:eastAsia="it-IT"/>
        </w:rPr>
        <w:t>ganci</w:t>
      </w:r>
      <w:r w:rsidR="007F1E7E">
        <w:rPr>
          <w:rFonts w:eastAsia="Calibri" w:cs="Calibri"/>
          <w:color w:val="000000"/>
          <w:lang w:eastAsia="it-IT"/>
        </w:rPr>
        <w:t>clovir</w:t>
      </w:r>
      <w:proofErr w:type="spellEnd"/>
      <w:r w:rsidR="007F1E7E">
        <w:rPr>
          <w:rFonts w:eastAsia="Calibri" w:cs="Calibri"/>
          <w:color w:val="000000"/>
          <w:lang w:eastAsia="it-IT"/>
        </w:rPr>
        <w:t xml:space="preserve"> </w:t>
      </w:r>
      <w:r w:rsidR="002E5363">
        <w:rPr>
          <w:rFonts w:eastAsia="Calibri" w:cs="Calibri"/>
          <w:color w:val="000000"/>
          <w:lang w:eastAsia="it-IT"/>
        </w:rPr>
        <w:t>,</w:t>
      </w:r>
      <w:proofErr w:type="gramEnd"/>
      <w:r w:rsidR="002E5363">
        <w:rPr>
          <w:rFonts w:eastAsia="Calibri" w:cs="Calibri"/>
          <w:color w:val="000000"/>
          <w:lang w:eastAsia="it-IT"/>
        </w:rPr>
        <w:t xml:space="preserve"> </w:t>
      </w:r>
      <w:r w:rsidR="004E5A39" w:rsidRPr="00EF6711">
        <w:rPr>
          <w:rFonts w:eastAsia="Calibri" w:cs="Calibri"/>
          <w:lang w:eastAsia="it-IT"/>
        </w:rPr>
        <w:t>noto</w:t>
      </w:r>
      <w:r w:rsidR="0042214D">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proofErr w:type="spellStart"/>
      <w:r w:rsidR="003C6973">
        <w:rPr>
          <w:rFonts w:eastAsia="Calibri" w:cs="Calibri"/>
          <w:lang w:eastAsia="it-IT"/>
        </w:rPr>
        <w:t>Citovirax</w:t>
      </w:r>
      <w:proofErr w:type="spellEnd"/>
      <w:r w:rsidR="0042214D">
        <w:rPr>
          <w:rFonts w:eastAsia="Calibri" w:cs="Calibri"/>
          <w:lang w:eastAsia="it-IT"/>
        </w:rPr>
        <w:t xml:space="preserve"> aut</w:t>
      </w:r>
      <w:r w:rsidR="004E5A39" w:rsidRPr="00EF6711">
        <w:rPr>
          <w:rFonts w:eastAsia="Calibri" w:cs="Calibri"/>
          <w:lang w:eastAsia="it-IT"/>
        </w:rPr>
        <w:t>orizzato in Italia da più di 10 anni.</w:t>
      </w:r>
    </w:p>
    <w:p w14:paraId="3B8A71D9" w14:textId="77777777" w:rsidR="004E5A39" w:rsidRPr="00EF6711" w:rsidRDefault="004E5A39" w:rsidP="00EF6711">
      <w:pPr>
        <w:spacing w:after="0" w:line="240" w:lineRule="auto"/>
        <w:jc w:val="both"/>
        <w:rPr>
          <w:highlight w:val="yellow"/>
        </w:rPr>
      </w:pPr>
    </w:p>
    <w:p w14:paraId="2D00957D" w14:textId="28E29FD6" w:rsidR="003C6973" w:rsidRPr="003C6973" w:rsidRDefault="00A57CE8" w:rsidP="003C6973">
      <w:pPr>
        <w:tabs>
          <w:tab w:val="left" w:pos="0"/>
        </w:tabs>
        <w:overflowPunct w:val="0"/>
        <w:autoSpaceDE w:val="0"/>
        <w:autoSpaceDN w:val="0"/>
        <w:adjustRightInd w:val="0"/>
        <w:spacing w:after="0" w:line="240" w:lineRule="auto"/>
        <w:jc w:val="both"/>
        <w:textAlignment w:val="baseline"/>
        <w:rPr>
          <w:rFonts w:eastAsia="Calibri" w:cs="Calibri"/>
          <w:lang w:eastAsia="it-IT"/>
        </w:rPr>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4E5A39" w:rsidRPr="00EF6711">
        <w:rPr>
          <w:rFonts w:eastAsia="Calibri" w:cs="Calibri"/>
          <w:bCs/>
          <w:lang w:eastAsia="it-IT"/>
        </w:rPr>
        <w:t xml:space="preserve">, </w:t>
      </w:r>
      <w:r w:rsidR="004E5A39" w:rsidRPr="00EF6711">
        <w:t>il cui c</w:t>
      </w:r>
      <w:r w:rsidR="004E5A39" w:rsidRPr="00EF6711">
        <w:rPr>
          <w:iCs/>
        </w:rPr>
        <w:t>odice ATC è</w:t>
      </w:r>
      <w:r w:rsidR="003C6973">
        <w:rPr>
          <w:iCs/>
        </w:rPr>
        <w:t xml:space="preserve"> </w:t>
      </w:r>
      <w:r w:rsidR="003C6973" w:rsidRPr="003C6973">
        <w:rPr>
          <w:iCs/>
        </w:rPr>
        <w:t>J05AB06</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2E5363">
        <w:rPr>
          <w:rFonts w:eastAsia="Calibri" w:cs="Calibri"/>
          <w:lang w:eastAsia="it-IT"/>
        </w:rPr>
        <w:t xml:space="preserve"> </w:t>
      </w:r>
      <w:proofErr w:type="spellStart"/>
      <w:r w:rsidR="003C6973">
        <w:rPr>
          <w:rFonts w:eastAsia="Calibri" w:cs="Calibri"/>
          <w:lang w:eastAsia="it-IT"/>
        </w:rPr>
        <w:t>gancinclovir</w:t>
      </w:r>
      <w:proofErr w:type="spellEnd"/>
      <w:r w:rsidR="003C6973">
        <w:rPr>
          <w:rFonts w:eastAsia="Calibri" w:cs="Calibri"/>
          <w:lang w:eastAsia="it-IT"/>
        </w:rPr>
        <w:t xml:space="preserve"> </w:t>
      </w:r>
      <w:r w:rsidR="00926255">
        <w:rPr>
          <w:rFonts w:eastAsia="Calibri" w:cs="Calibri"/>
          <w:lang w:eastAsia="it-IT"/>
        </w:rPr>
        <w:t xml:space="preserve">che </w:t>
      </w:r>
      <w:r w:rsidR="003C6973" w:rsidRPr="003C6973">
        <w:rPr>
          <w:rFonts w:eastAsia="Calibri" w:cs="Calibri"/>
          <w:lang w:eastAsia="it-IT"/>
        </w:rPr>
        <w:t>è un analogo sintetico della 2’-deossiguanosina che inibisce la replicazione degli herpes virus sia in vitro sia in vivo.</w:t>
      </w:r>
      <w:r w:rsidR="003C6973" w:rsidRPr="003C6973">
        <w:t xml:space="preserve"> </w:t>
      </w:r>
      <w:r w:rsidR="003C6973" w:rsidRPr="003C6973">
        <w:rPr>
          <w:rFonts w:eastAsia="Calibri" w:cs="Calibri"/>
          <w:lang w:eastAsia="it-IT"/>
        </w:rPr>
        <w:t>Gli studi clinici si sono limitati alla valutazione dell’efficacia nei pazienti con infezione da CMV.</w:t>
      </w:r>
    </w:p>
    <w:p w14:paraId="0A73ADC9" w14:textId="77777777" w:rsidR="003C6973" w:rsidRPr="003C6973" w:rsidRDefault="003C6973" w:rsidP="003C6973">
      <w:p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3C6973">
        <w:rPr>
          <w:rFonts w:eastAsia="Calibri" w:cs="Calibri"/>
          <w:lang w:eastAsia="it-IT"/>
        </w:rPr>
        <w:t xml:space="preserve">Nelle cellule infettate dal CMV, </w:t>
      </w:r>
      <w:proofErr w:type="spellStart"/>
      <w:r w:rsidRPr="003C6973">
        <w:rPr>
          <w:rFonts w:eastAsia="Calibri" w:cs="Calibri"/>
          <w:lang w:eastAsia="it-IT"/>
        </w:rPr>
        <w:t>ganciclovir</w:t>
      </w:r>
      <w:proofErr w:type="spellEnd"/>
      <w:r w:rsidRPr="003C6973">
        <w:rPr>
          <w:rFonts w:eastAsia="Calibri" w:cs="Calibri"/>
          <w:lang w:eastAsia="it-IT"/>
        </w:rPr>
        <w:t xml:space="preserve"> è inizialmente fosforilato in </w:t>
      </w:r>
      <w:proofErr w:type="spellStart"/>
      <w:r w:rsidRPr="003C6973">
        <w:rPr>
          <w:rFonts w:eastAsia="Calibri" w:cs="Calibri"/>
          <w:lang w:eastAsia="it-IT"/>
        </w:rPr>
        <w:t>ganciclovir</w:t>
      </w:r>
      <w:proofErr w:type="spellEnd"/>
      <w:r w:rsidRPr="003C6973">
        <w:rPr>
          <w:rFonts w:eastAsia="Calibri" w:cs="Calibri"/>
          <w:lang w:eastAsia="it-IT"/>
        </w:rPr>
        <w:t xml:space="preserve"> </w:t>
      </w:r>
      <w:proofErr w:type="spellStart"/>
      <w:r w:rsidRPr="003C6973">
        <w:rPr>
          <w:rFonts w:eastAsia="Calibri" w:cs="Calibri"/>
          <w:lang w:eastAsia="it-IT"/>
        </w:rPr>
        <w:t>monofosfato</w:t>
      </w:r>
      <w:proofErr w:type="spellEnd"/>
      <w:r w:rsidRPr="003C6973">
        <w:rPr>
          <w:rFonts w:eastAsia="Calibri" w:cs="Calibri"/>
          <w:lang w:eastAsia="it-IT"/>
        </w:rPr>
        <w:t xml:space="preserve"> per mezzo della </w:t>
      </w:r>
      <w:proofErr w:type="spellStart"/>
      <w:r w:rsidRPr="003C6973">
        <w:rPr>
          <w:rFonts w:eastAsia="Calibri" w:cs="Calibri"/>
          <w:lang w:eastAsia="it-IT"/>
        </w:rPr>
        <w:t>protein-chinasi</w:t>
      </w:r>
      <w:proofErr w:type="spellEnd"/>
      <w:r w:rsidRPr="003C6973">
        <w:rPr>
          <w:rFonts w:eastAsia="Calibri" w:cs="Calibri"/>
          <w:lang w:eastAsia="it-IT"/>
        </w:rPr>
        <w:t xml:space="preserve"> virale, pUL97. Un’ulteriore fosforilazione per mezzo di varie </w:t>
      </w:r>
      <w:proofErr w:type="spellStart"/>
      <w:r w:rsidRPr="003C6973">
        <w:rPr>
          <w:rFonts w:eastAsia="Calibri" w:cs="Calibri"/>
          <w:lang w:eastAsia="it-IT"/>
        </w:rPr>
        <w:t>chinasi</w:t>
      </w:r>
      <w:proofErr w:type="spellEnd"/>
      <w:r w:rsidRPr="003C6973">
        <w:rPr>
          <w:rFonts w:eastAsia="Calibri" w:cs="Calibri"/>
          <w:lang w:eastAsia="it-IT"/>
        </w:rPr>
        <w:t xml:space="preserve"> cellulari porta alla formazione di </w:t>
      </w:r>
      <w:proofErr w:type="spellStart"/>
      <w:r w:rsidRPr="003C6973">
        <w:rPr>
          <w:rFonts w:eastAsia="Calibri" w:cs="Calibri"/>
          <w:lang w:eastAsia="it-IT"/>
        </w:rPr>
        <w:t>ganciclovir</w:t>
      </w:r>
      <w:proofErr w:type="spellEnd"/>
      <w:r w:rsidRPr="003C6973">
        <w:rPr>
          <w:rFonts w:eastAsia="Calibri" w:cs="Calibri"/>
          <w:lang w:eastAsia="it-IT"/>
        </w:rPr>
        <w:t xml:space="preserve"> </w:t>
      </w:r>
      <w:proofErr w:type="spellStart"/>
      <w:r w:rsidRPr="003C6973">
        <w:rPr>
          <w:rFonts w:eastAsia="Calibri" w:cs="Calibri"/>
          <w:lang w:eastAsia="it-IT"/>
        </w:rPr>
        <w:t>trifosfato</w:t>
      </w:r>
      <w:proofErr w:type="spellEnd"/>
      <w:r w:rsidRPr="003C6973">
        <w:rPr>
          <w:rFonts w:eastAsia="Calibri" w:cs="Calibri"/>
          <w:lang w:eastAsia="it-IT"/>
        </w:rPr>
        <w:t xml:space="preserve">, che viene in seguito metabolizzato lentamente a livello intracellulare. Questo effetto è stato osservato dopo rimozione di </w:t>
      </w:r>
      <w:proofErr w:type="spellStart"/>
      <w:r w:rsidRPr="003C6973">
        <w:rPr>
          <w:rFonts w:eastAsia="Calibri" w:cs="Calibri"/>
          <w:lang w:eastAsia="it-IT"/>
        </w:rPr>
        <w:t>ganciclovir</w:t>
      </w:r>
      <w:proofErr w:type="spellEnd"/>
      <w:r w:rsidRPr="003C6973">
        <w:rPr>
          <w:rFonts w:eastAsia="Calibri" w:cs="Calibri"/>
          <w:lang w:eastAsia="it-IT"/>
        </w:rPr>
        <w:t xml:space="preserve"> extracellulare in cellule infettate da HSV e da HCMV con emivita di rispettivamente 18 ore e 6-24 ore. Poiché la fosforilazione è in gran parte dipendente dalla </w:t>
      </w:r>
      <w:proofErr w:type="spellStart"/>
      <w:r w:rsidRPr="003C6973">
        <w:rPr>
          <w:rFonts w:eastAsia="Calibri" w:cs="Calibri"/>
          <w:lang w:eastAsia="it-IT"/>
        </w:rPr>
        <w:t>chinasi</w:t>
      </w:r>
      <w:proofErr w:type="spellEnd"/>
      <w:r w:rsidRPr="003C6973">
        <w:rPr>
          <w:rFonts w:eastAsia="Calibri" w:cs="Calibri"/>
          <w:lang w:eastAsia="it-IT"/>
        </w:rPr>
        <w:t xml:space="preserve"> virale, la fosforilazione di </w:t>
      </w:r>
      <w:proofErr w:type="spellStart"/>
      <w:r w:rsidRPr="003C6973">
        <w:rPr>
          <w:rFonts w:eastAsia="Calibri" w:cs="Calibri"/>
          <w:lang w:eastAsia="it-IT"/>
        </w:rPr>
        <w:t>ganciclovir</w:t>
      </w:r>
      <w:proofErr w:type="spellEnd"/>
      <w:r w:rsidRPr="003C6973">
        <w:rPr>
          <w:rFonts w:eastAsia="Calibri" w:cs="Calibri"/>
          <w:lang w:eastAsia="it-IT"/>
        </w:rPr>
        <w:t xml:space="preserve"> avviene principalmente nelle cellule infettate dal virus. </w:t>
      </w:r>
    </w:p>
    <w:p w14:paraId="493E782F" w14:textId="12DEB58A" w:rsidR="00A01AB1" w:rsidRDefault="003C6973" w:rsidP="003C6973">
      <w:pPr>
        <w:tabs>
          <w:tab w:val="left" w:pos="0"/>
        </w:tabs>
        <w:overflowPunct w:val="0"/>
        <w:autoSpaceDE w:val="0"/>
        <w:autoSpaceDN w:val="0"/>
        <w:adjustRightInd w:val="0"/>
        <w:spacing w:after="0" w:line="240" w:lineRule="auto"/>
        <w:jc w:val="both"/>
        <w:textAlignment w:val="baseline"/>
      </w:pPr>
      <w:r w:rsidRPr="003C6973">
        <w:rPr>
          <w:rFonts w:eastAsia="Calibri" w:cs="Calibri"/>
          <w:lang w:eastAsia="it-IT"/>
        </w:rPr>
        <w:t xml:space="preserve">L’attività </w:t>
      </w:r>
      <w:proofErr w:type="spellStart"/>
      <w:r w:rsidRPr="003C6973">
        <w:rPr>
          <w:rFonts w:eastAsia="Calibri" w:cs="Calibri"/>
          <w:lang w:eastAsia="it-IT"/>
        </w:rPr>
        <w:t>virustatica</w:t>
      </w:r>
      <w:proofErr w:type="spellEnd"/>
      <w:r w:rsidRPr="003C6973">
        <w:rPr>
          <w:rFonts w:eastAsia="Calibri" w:cs="Calibri"/>
          <w:lang w:eastAsia="it-IT"/>
        </w:rPr>
        <w:t xml:space="preserve"> di </w:t>
      </w:r>
      <w:proofErr w:type="spellStart"/>
      <w:r w:rsidRPr="003C6973">
        <w:rPr>
          <w:rFonts w:eastAsia="Calibri" w:cs="Calibri"/>
          <w:lang w:eastAsia="it-IT"/>
        </w:rPr>
        <w:t>ganciclovir</w:t>
      </w:r>
      <w:proofErr w:type="spellEnd"/>
      <w:r w:rsidRPr="003C6973">
        <w:rPr>
          <w:rFonts w:eastAsia="Calibri" w:cs="Calibri"/>
          <w:lang w:eastAsia="it-IT"/>
        </w:rPr>
        <w:t xml:space="preserve"> è dovuta essenzialmente all’inibizione della sintesi del DNA virale mediante: (1) l’inibizione competitiva dell’incorporazione della </w:t>
      </w:r>
      <w:proofErr w:type="spellStart"/>
      <w:r w:rsidRPr="003C6973">
        <w:rPr>
          <w:rFonts w:eastAsia="Calibri" w:cs="Calibri"/>
          <w:lang w:eastAsia="it-IT"/>
        </w:rPr>
        <w:t>deossiguanosina</w:t>
      </w:r>
      <w:proofErr w:type="spellEnd"/>
      <w:r w:rsidRPr="003C6973">
        <w:rPr>
          <w:rFonts w:eastAsia="Calibri" w:cs="Calibri"/>
          <w:lang w:eastAsia="it-IT"/>
        </w:rPr>
        <w:t xml:space="preserve"> </w:t>
      </w:r>
      <w:proofErr w:type="spellStart"/>
      <w:r w:rsidRPr="003C6973">
        <w:rPr>
          <w:rFonts w:eastAsia="Calibri" w:cs="Calibri"/>
          <w:lang w:eastAsia="it-IT"/>
        </w:rPr>
        <w:t>trifosfato</w:t>
      </w:r>
      <w:proofErr w:type="spellEnd"/>
      <w:r w:rsidRPr="003C6973">
        <w:rPr>
          <w:rFonts w:eastAsia="Calibri" w:cs="Calibri"/>
          <w:lang w:eastAsia="it-IT"/>
        </w:rPr>
        <w:t xml:space="preserve"> nel DNA per mezzo della DNA polimerasi virale e (2) l’incorporazione di </w:t>
      </w:r>
      <w:proofErr w:type="spellStart"/>
      <w:r w:rsidRPr="003C6973">
        <w:rPr>
          <w:rFonts w:eastAsia="Calibri" w:cs="Calibri"/>
          <w:lang w:eastAsia="it-IT"/>
        </w:rPr>
        <w:t>ganciclovir</w:t>
      </w:r>
      <w:proofErr w:type="spellEnd"/>
      <w:r w:rsidRPr="003C6973">
        <w:rPr>
          <w:rFonts w:eastAsia="Calibri" w:cs="Calibri"/>
          <w:lang w:eastAsia="it-IT"/>
        </w:rPr>
        <w:t xml:space="preserve"> </w:t>
      </w:r>
      <w:proofErr w:type="spellStart"/>
      <w:r w:rsidRPr="003C6973">
        <w:rPr>
          <w:rFonts w:eastAsia="Calibri" w:cs="Calibri"/>
          <w:lang w:eastAsia="it-IT"/>
        </w:rPr>
        <w:t>trifosfato</w:t>
      </w:r>
      <w:proofErr w:type="spellEnd"/>
      <w:r w:rsidRPr="003C6973">
        <w:rPr>
          <w:rFonts w:eastAsia="Calibri" w:cs="Calibri"/>
          <w:lang w:eastAsia="it-IT"/>
        </w:rPr>
        <w:t xml:space="preserve"> nel DNA virale, che provoca l’interruzione o una notevole limitazione dell’ulteriore allungamento del DNA virale.</w:t>
      </w:r>
    </w:p>
    <w:p w14:paraId="684FD006" w14:textId="58EC5F27" w:rsidR="00145EA5" w:rsidRDefault="00145EA5" w:rsidP="00D26545">
      <w:pPr>
        <w:tabs>
          <w:tab w:val="left" w:pos="0"/>
        </w:tabs>
        <w:overflowPunct w:val="0"/>
        <w:autoSpaceDE w:val="0"/>
        <w:autoSpaceDN w:val="0"/>
        <w:adjustRightInd w:val="0"/>
        <w:spacing w:after="0" w:line="240" w:lineRule="auto"/>
        <w:jc w:val="both"/>
        <w:textAlignment w:val="baseline"/>
      </w:pPr>
    </w:p>
    <w:p w14:paraId="49C7EE15" w14:textId="68B11C92" w:rsidR="00AE104A" w:rsidRPr="00AE104A" w:rsidRDefault="00A57CE8" w:rsidP="00AE104A">
      <w:pPr>
        <w:tabs>
          <w:tab w:val="left" w:pos="0"/>
        </w:tabs>
        <w:overflowPunct w:val="0"/>
        <w:autoSpaceDE w:val="0"/>
        <w:autoSpaceDN w:val="0"/>
        <w:adjustRightInd w:val="0"/>
        <w:spacing w:after="0" w:line="240" w:lineRule="auto"/>
        <w:jc w:val="both"/>
        <w:textAlignment w:val="baseline"/>
        <w:rPr>
          <w:rFonts w:eastAsia="Calibri" w:cs="Calibri"/>
          <w:lang w:eastAsia="it-IT"/>
        </w:rPr>
      </w:pPr>
      <w:proofErr w:type="spellStart"/>
      <w:r>
        <w:rPr>
          <w:rFonts w:eastAsia="Calibri" w:cs="Calibri"/>
          <w:lang w:eastAsia="it-IT"/>
        </w:rPr>
        <w:t>Ganciclovir</w:t>
      </w:r>
      <w:proofErr w:type="spellEnd"/>
      <w:r>
        <w:rPr>
          <w:rFonts w:eastAsia="Calibri" w:cs="Calibri"/>
          <w:lang w:eastAsia="it-IT"/>
        </w:rPr>
        <w:t xml:space="preserve"> </w:t>
      </w:r>
      <w:proofErr w:type="spellStart"/>
      <w:proofErr w:type="gramStart"/>
      <w:r>
        <w:rPr>
          <w:rFonts w:eastAsia="Calibri" w:cs="Calibri"/>
          <w:lang w:eastAsia="it-IT"/>
        </w:rPr>
        <w:t>Medac</w:t>
      </w:r>
      <w:proofErr w:type="spellEnd"/>
      <w:r w:rsidR="00145EA5" w:rsidRPr="00145EA5">
        <w:rPr>
          <w:rFonts w:eastAsia="Calibri" w:cs="Calibri"/>
          <w:lang w:eastAsia="it-IT"/>
        </w:rPr>
        <w:t xml:space="preserve"> </w:t>
      </w:r>
      <w:r w:rsidR="00AE104A" w:rsidRPr="00AE104A">
        <w:rPr>
          <w:rFonts w:eastAsia="Calibri" w:cs="Calibri"/>
          <w:lang w:eastAsia="it-IT"/>
        </w:rPr>
        <w:t xml:space="preserve"> è</w:t>
      </w:r>
      <w:proofErr w:type="gramEnd"/>
      <w:r w:rsidR="00AE104A" w:rsidRPr="00AE104A">
        <w:rPr>
          <w:rFonts w:eastAsia="Calibri" w:cs="Calibri"/>
          <w:lang w:eastAsia="it-IT"/>
        </w:rPr>
        <w:t xml:space="preserve"> indicato negli adulti e negli adolescenti di età pari o superiore a 12 anni per:</w:t>
      </w:r>
    </w:p>
    <w:p w14:paraId="160584D5" w14:textId="77777777" w:rsidR="00AE104A" w:rsidRPr="00AE104A" w:rsidRDefault="00AE104A" w:rsidP="00AE104A">
      <w:p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AE104A">
        <w:rPr>
          <w:rFonts w:eastAsia="Calibri" w:cs="Calibri"/>
          <w:lang w:eastAsia="it-IT"/>
        </w:rPr>
        <w:t></w:t>
      </w:r>
      <w:r w:rsidRPr="00AE104A">
        <w:rPr>
          <w:rFonts w:eastAsia="Calibri" w:cs="Calibri"/>
          <w:lang w:eastAsia="it-IT"/>
        </w:rPr>
        <w:tab/>
        <w:t xml:space="preserve">il trattamento di pazienti </w:t>
      </w:r>
      <w:proofErr w:type="spellStart"/>
      <w:r w:rsidRPr="00AE104A">
        <w:rPr>
          <w:rFonts w:eastAsia="Calibri" w:cs="Calibri"/>
          <w:lang w:eastAsia="it-IT"/>
        </w:rPr>
        <w:t>immunocompromessi</w:t>
      </w:r>
      <w:proofErr w:type="spellEnd"/>
      <w:r w:rsidRPr="00AE104A">
        <w:rPr>
          <w:rFonts w:eastAsia="Calibri" w:cs="Calibri"/>
          <w:lang w:eastAsia="it-IT"/>
        </w:rPr>
        <w:t xml:space="preserve"> con malattia da citomegalovirus (CMV);</w:t>
      </w:r>
    </w:p>
    <w:p w14:paraId="6CC593C0" w14:textId="77777777" w:rsidR="00AE104A" w:rsidRPr="00AE104A" w:rsidRDefault="00AE104A" w:rsidP="00AE104A">
      <w:p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AE104A">
        <w:rPr>
          <w:rFonts w:eastAsia="Calibri" w:cs="Calibri"/>
          <w:lang w:eastAsia="it-IT"/>
        </w:rPr>
        <w:t></w:t>
      </w:r>
      <w:r w:rsidRPr="00AE104A">
        <w:rPr>
          <w:rFonts w:eastAsia="Calibri" w:cs="Calibri"/>
          <w:lang w:eastAsia="it-IT"/>
        </w:rPr>
        <w:tab/>
        <w:t>la prevenzione della malattia da CMV in pazienti con immunosoppressione indotta da farmaci (per esempio dopo trapianto di organo o chemioterapia oncologica).</w:t>
      </w:r>
    </w:p>
    <w:p w14:paraId="7C95818E" w14:textId="72C22BAD" w:rsidR="00EF6711" w:rsidRDefault="00AE104A" w:rsidP="00AE104A">
      <w:pPr>
        <w:tabs>
          <w:tab w:val="left" w:pos="0"/>
        </w:tabs>
        <w:overflowPunct w:val="0"/>
        <w:autoSpaceDE w:val="0"/>
        <w:autoSpaceDN w:val="0"/>
        <w:adjustRightInd w:val="0"/>
        <w:spacing w:after="0" w:line="240" w:lineRule="auto"/>
        <w:jc w:val="both"/>
        <w:textAlignment w:val="baseline"/>
      </w:pPr>
      <w:r w:rsidRPr="00AE104A">
        <w:rPr>
          <w:rFonts w:eastAsia="Calibri" w:cs="Calibri"/>
          <w:lang w:eastAsia="it-IT"/>
        </w:rPr>
        <w:t>Devono essere prese in considerazione le linee guida ufficiali sull'uso appropriato degli agenti antivirali.</w:t>
      </w:r>
    </w:p>
    <w:p w14:paraId="7E1007D1" w14:textId="2A8BAF29" w:rsidR="00265B61" w:rsidRDefault="00265B61" w:rsidP="00EF6711">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p>
    <w:p w14:paraId="4808E8BE" w14:textId="5EAE8A28" w:rsidR="000E4494" w:rsidRPr="00EF6711" w:rsidRDefault="004E5A39" w:rsidP="00EF6711">
      <w:pPr>
        <w:spacing w:after="0" w:line="240" w:lineRule="auto"/>
        <w:jc w:val="both"/>
        <w:rPr>
          <w:rFonts w:cs="Arial"/>
        </w:rPr>
      </w:pPr>
      <w:r w:rsidRPr="00EF6711">
        <w:t xml:space="preserve">Poiché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3770A3">
        <w:rPr>
          <w:rFonts w:eastAsia="Calibri" w:cs="Calibri"/>
          <w:color w:val="000000"/>
          <w:lang w:eastAsia="it-IT"/>
        </w:rPr>
        <w:t xml:space="preserve"> </w:t>
      </w:r>
      <w:r w:rsidRPr="00EF6711">
        <w:t xml:space="preserve">contiene </w:t>
      </w:r>
      <w:r w:rsidR="00C42AAC" w:rsidRPr="00EF6711">
        <w:t>un</w:t>
      </w:r>
      <w:r w:rsidRPr="00EF6711">
        <w:t xml:space="preserve"> principi</w:t>
      </w:r>
      <w:r w:rsidR="00C42AAC" w:rsidRPr="00EF6711">
        <w:t>o</w:t>
      </w:r>
      <w:r w:rsidRPr="00EF6711">
        <w:t xml:space="preserve"> attiv</w:t>
      </w:r>
      <w:r w:rsidR="00C42AAC" w:rsidRPr="00EF6711">
        <w:t>o</w:t>
      </w:r>
      <w:r w:rsidRPr="00EF6711">
        <w:t xml:space="preserve"> not</w:t>
      </w:r>
      <w:r w:rsidR="00C42AAC" w:rsidRPr="00EF6711">
        <w:t>o</w:t>
      </w:r>
      <w:r w:rsidRPr="00EF6711">
        <w:t xml:space="preserve">, non sono stati forniti nuovi dati non clinici e clinici: questo approccio è accettabile poiché il medicinale di riferimento </w:t>
      </w:r>
      <w:proofErr w:type="spellStart"/>
      <w:r w:rsidR="00AE104A">
        <w:rPr>
          <w:rFonts w:eastAsia="Calibri" w:cs="Calibri"/>
          <w:lang w:eastAsia="it-IT"/>
        </w:rPr>
        <w:t>Citovirax</w:t>
      </w:r>
      <w:proofErr w:type="spellEnd"/>
      <w:r w:rsidR="00420906">
        <w:rPr>
          <w:rFonts w:eastAsia="Calibri" w:cs="Calibri"/>
          <w:lang w:eastAsia="it-IT"/>
        </w:rPr>
        <w:t xml:space="preserve"> </w:t>
      </w:r>
      <w:r w:rsidRPr="00EF6711">
        <w:t xml:space="preserve">è autorizzato in Italia </w:t>
      </w:r>
      <w:r w:rsidR="000E4494" w:rsidRPr="00EF6711">
        <w:t xml:space="preserve">da oltre 10 anni; poiché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3770A3">
        <w:rPr>
          <w:rFonts w:eastAsia="Calibri" w:cs="Calibri"/>
          <w:color w:val="000000"/>
          <w:lang w:eastAsia="it-IT"/>
        </w:rPr>
        <w:t xml:space="preserve"> </w:t>
      </w:r>
      <w:r w:rsidR="0042214D">
        <w:rPr>
          <w:rFonts w:eastAsia="Calibri" w:cs="Calibri"/>
          <w:color w:val="000000"/>
          <w:lang w:eastAsia="it-IT"/>
        </w:rPr>
        <w:t xml:space="preserve"> </w:t>
      </w:r>
      <w:r w:rsidR="000E4494" w:rsidRPr="00EF6711">
        <w:rPr>
          <w:rFonts w:cs="Arial"/>
        </w:rPr>
        <w:t xml:space="preserve">è somministrato </w:t>
      </w:r>
      <w:r w:rsidR="00926255">
        <w:rPr>
          <w:rFonts w:cs="Arial"/>
        </w:rPr>
        <w:t xml:space="preserve">come </w:t>
      </w:r>
      <w:r w:rsidR="00AE104A">
        <w:rPr>
          <w:rFonts w:cs="Arial"/>
        </w:rPr>
        <w:t xml:space="preserve">polvere per concentrato per soluzione per infusione </w:t>
      </w:r>
      <w:r w:rsidR="00926255">
        <w:rPr>
          <w:rFonts w:cs="Arial"/>
        </w:rPr>
        <w:t xml:space="preserve"> </w:t>
      </w:r>
      <w:r w:rsidR="00506C70">
        <w:rPr>
          <w:rFonts w:cs="Arial"/>
        </w:rPr>
        <w:t xml:space="preserve"> </w:t>
      </w:r>
      <w:r w:rsidR="00420906">
        <w:rPr>
          <w:rFonts w:ascii="Calibri" w:hAnsi="Calibri" w:cs="Arial"/>
        </w:rPr>
        <w:t xml:space="preserve"> </w:t>
      </w:r>
      <w:r w:rsidR="000E4494" w:rsidRPr="00EF6711">
        <w:rPr>
          <w:rFonts w:cs="Arial"/>
        </w:rPr>
        <w:t>nella stessa composizione del medicinale di rifermento, è stat</w:t>
      </w:r>
      <w:r w:rsidR="00265B61">
        <w:rPr>
          <w:rFonts w:cs="Arial"/>
        </w:rPr>
        <w:t>o possibile</w:t>
      </w:r>
      <w:r w:rsidR="000E4494" w:rsidRPr="00EF6711">
        <w:rPr>
          <w:rFonts w:cs="Arial"/>
        </w:rPr>
        <w:t xml:space="preserve"> conce</w:t>
      </w:r>
      <w:r w:rsidR="00265B61">
        <w:rPr>
          <w:rFonts w:cs="Arial"/>
        </w:rPr>
        <w:t>dere</w:t>
      </w:r>
      <w:r w:rsidR="000E4494" w:rsidRPr="00EF6711">
        <w:rPr>
          <w:rFonts w:cs="Arial"/>
        </w:rPr>
        <w:t xml:space="preserve"> l’esenzione dalla conduzione di studi clinici di confronto con il medicinale di riferimento.</w:t>
      </w:r>
    </w:p>
    <w:p w14:paraId="18D598C4" w14:textId="77777777" w:rsidR="004E5A39" w:rsidRDefault="004E5A39" w:rsidP="00EF6711">
      <w:pPr>
        <w:spacing w:after="0" w:line="240" w:lineRule="auto"/>
        <w:jc w:val="both"/>
      </w:pPr>
    </w:p>
    <w:p w14:paraId="55526594" w14:textId="77777777" w:rsidR="0042214D" w:rsidRDefault="0042214D" w:rsidP="00EF6711">
      <w:pPr>
        <w:spacing w:after="0" w:line="240" w:lineRule="auto"/>
        <w:jc w:val="both"/>
      </w:pPr>
    </w:p>
    <w:p w14:paraId="550FB874"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proofErr w:type="spellStart"/>
      <w:r w:rsidRPr="00EF6711">
        <w:rPr>
          <w:i/>
        </w:rPr>
        <w:t>Good</w:t>
      </w:r>
      <w:proofErr w:type="spellEnd"/>
      <w:r w:rsidRPr="00EF6711">
        <w:rPr>
          <w:i/>
        </w:rPr>
        <w:t xml:space="preserve"> Manufacturing </w:t>
      </w:r>
      <w:proofErr w:type="spellStart"/>
      <w:r w:rsidRPr="00EF6711">
        <w:rPr>
          <w:i/>
        </w:rPr>
        <w:t>Practice</w:t>
      </w:r>
      <w:proofErr w:type="spellEnd"/>
      <w:r w:rsidRPr="00EF6711">
        <w:t xml:space="preserve"> - GMP). Le autorità regolatore competenti hanno rilasciato i certificati GMP per i siti di produzione sul territorio dell’Unione Europea.</w:t>
      </w:r>
    </w:p>
    <w:p w14:paraId="5724243D" w14:textId="77777777" w:rsidR="004E5A39" w:rsidRPr="00EF6711" w:rsidRDefault="004E5A39" w:rsidP="00EF6711">
      <w:pPr>
        <w:spacing w:after="0" w:line="240" w:lineRule="auto"/>
        <w:jc w:val="both"/>
        <w:rPr>
          <w:highlight w:val="yellow"/>
        </w:rPr>
      </w:pPr>
    </w:p>
    <w:p w14:paraId="208F19CB" w14:textId="11B624A0" w:rsidR="004E5A39" w:rsidRPr="00EF6711" w:rsidRDefault="004E5A39" w:rsidP="00EF6711">
      <w:pPr>
        <w:spacing w:after="0" w:line="240" w:lineRule="auto"/>
        <w:jc w:val="both"/>
      </w:pPr>
      <w:r w:rsidRPr="00EF6711">
        <w:t xml:space="preserve">Il sistema di Farmacovigilanza descritto dal titolare dell’AIC è conforme ai requisiti previsti dalla normativa corrente. </w:t>
      </w:r>
      <w:r w:rsidR="00757FA2">
        <w:rPr>
          <w:rFonts w:cstheme="minorHAnsi"/>
        </w:rPr>
        <w:t>È</w:t>
      </w:r>
      <w:r w:rsidRPr="00EF6711">
        <w:t xml:space="preserve"> stato presentato un Piano di gestione del rischio (</w:t>
      </w:r>
      <w:proofErr w:type="spellStart"/>
      <w:r w:rsidRPr="00EF6711">
        <w:rPr>
          <w:i/>
        </w:rPr>
        <w:t>Risk</w:t>
      </w:r>
      <w:proofErr w:type="spellEnd"/>
      <w:r w:rsidRPr="00EF6711">
        <w:rPr>
          <w:i/>
        </w:rPr>
        <w:t xml:space="preserve"> Management Plan</w:t>
      </w:r>
      <w:r w:rsidRPr="00EF6711">
        <w:t xml:space="preserve"> – RMP) accettabile.</w:t>
      </w:r>
    </w:p>
    <w:p w14:paraId="2CDD4E39" w14:textId="77777777" w:rsidR="004E5A39" w:rsidRPr="00EF6711" w:rsidRDefault="004E5A39" w:rsidP="00EF6711">
      <w:pPr>
        <w:spacing w:after="0" w:line="240" w:lineRule="auto"/>
        <w:jc w:val="both"/>
      </w:pPr>
    </w:p>
    <w:p w14:paraId="410EB381" w14:textId="6B158824"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506C70">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6C092AAF" w14:textId="77777777" w:rsidR="004E5A39" w:rsidRPr="00EF6711" w:rsidRDefault="004E5A39" w:rsidP="00EF6711">
      <w:pPr>
        <w:spacing w:after="0" w:line="240" w:lineRule="auto"/>
        <w:jc w:val="both"/>
      </w:pPr>
    </w:p>
    <w:p w14:paraId="36B77F13" w14:textId="77777777" w:rsidR="004E5A39" w:rsidRPr="00EF6711" w:rsidRDefault="004E5A39" w:rsidP="00EF6711">
      <w:pPr>
        <w:spacing w:after="0" w:line="240" w:lineRule="auto"/>
        <w:jc w:val="both"/>
      </w:pPr>
    </w:p>
    <w:p w14:paraId="3892CD5A" w14:textId="77777777" w:rsidR="004E5A39" w:rsidRPr="006055B7" w:rsidRDefault="004E5A39" w:rsidP="00EF6711">
      <w:pPr>
        <w:pStyle w:val="Paragrafoelenco"/>
        <w:numPr>
          <w:ilvl w:val="0"/>
          <w:numId w:val="2"/>
        </w:numPr>
        <w:spacing w:after="0" w:line="240" w:lineRule="auto"/>
        <w:jc w:val="both"/>
        <w:rPr>
          <w:b/>
        </w:rPr>
      </w:pPr>
      <w:r w:rsidRPr="006055B7">
        <w:rPr>
          <w:b/>
        </w:rPr>
        <w:t>ASPETTI DI QUALITA’</w:t>
      </w:r>
    </w:p>
    <w:p w14:paraId="72DCBA2D" w14:textId="77777777" w:rsidR="002E5363" w:rsidRDefault="002E5363" w:rsidP="00EF6711">
      <w:pPr>
        <w:spacing w:after="0" w:line="240" w:lineRule="auto"/>
        <w:jc w:val="both"/>
        <w:rPr>
          <w:b/>
        </w:rPr>
      </w:pPr>
    </w:p>
    <w:p w14:paraId="18DF514D" w14:textId="1F12A221" w:rsidR="004E5A39" w:rsidRPr="00EF6711" w:rsidRDefault="004E5A39" w:rsidP="00EF6711">
      <w:pPr>
        <w:spacing w:after="0" w:line="240" w:lineRule="auto"/>
        <w:jc w:val="both"/>
      </w:pPr>
      <w:r w:rsidRPr="00EF6711">
        <w:rPr>
          <w:b/>
        </w:rPr>
        <w:lastRenderedPageBreak/>
        <w:t xml:space="preserve">II.1 PRINCIPIO </w:t>
      </w:r>
      <w:proofErr w:type="gramStart"/>
      <w:r w:rsidRPr="00EF6711">
        <w:rPr>
          <w:b/>
        </w:rPr>
        <w:t xml:space="preserve">ATTIVO </w:t>
      </w:r>
      <w:r w:rsidR="00AE104A">
        <w:rPr>
          <w:b/>
        </w:rPr>
        <w:t xml:space="preserve"> </w:t>
      </w:r>
      <w:proofErr w:type="spellStart"/>
      <w:r w:rsidR="00AE104A">
        <w:rPr>
          <w:b/>
        </w:rPr>
        <w:t>Ganciclovir</w:t>
      </w:r>
      <w:proofErr w:type="spellEnd"/>
      <w:proofErr w:type="gramEnd"/>
      <w:r w:rsidR="00AE104A">
        <w:rPr>
          <w:b/>
        </w:rPr>
        <w:t xml:space="preserve"> </w:t>
      </w:r>
    </w:p>
    <w:p w14:paraId="4A3EC1AD" w14:textId="77777777" w:rsidR="004E5A39" w:rsidRPr="00EF6711" w:rsidRDefault="004E5A39" w:rsidP="00EF6711">
      <w:pPr>
        <w:spacing w:after="0" w:line="240" w:lineRule="auto"/>
        <w:jc w:val="center"/>
        <w:rPr>
          <w:highlight w:val="yellow"/>
        </w:rPr>
      </w:pPr>
    </w:p>
    <w:p w14:paraId="7128A8FA" w14:textId="5A3ADBE4" w:rsidR="007F1E7E" w:rsidRDefault="007F1E7E" w:rsidP="007F1E7E">
      <w:pPr>
        <w:spacing w:after="0" w:line="240" w:lineRule="auto"/>
        <w:jc w:val="both"/>
      </w:pPr>
      <w:r>
        <w:t xml:space="preserve">Nome chimico </w:t>
      </w:r>
      <w:proofErr w:type="spellStart"/>
      <w:r>
        <w:t>Ganciclovir</w:t>
      </w:r>
      <w:proofErr w:type="spellEnd"/>
    </w:p>
    <w:p w14:paraId="39C28E07" w14:textId="191B5752" w:rsidR="007F1E7E" w:rsidRDefault="00587C39" w:rsidP="007F1E7E">
      <w:pPr>
        <w:spacing w:after="0" w:line="240" w:lineRule="auto"/>
        <w:jc w:val="both"/>
      </w:pPr>
      <w:r>
        <w:t>Struttura:</w:t>
      </w:r>
    </w:p>
    <w:p w14:paraId="48F1B124" w14:textId="7B258F6F" w:rsidR="00587C39" w:rsidRDefault="00587C39" w:rsidP="007F1E7E">
      <w:pPr>
        <w:spacing w:after="0" w:line="240" w:lineRule="auto"/>
        <w:jc w:val="both"/>
      </w:pPr>
    </w:p>
    <w:p w14:paraId="6AFCA1F6" w14:textId="2FE12F05" w:rsidR="00587C39" w:rsidRDefault="00587C39" w:rsidP="007F1E7E">
      <w:pPr>
        <w:spacing w:after="0" w:line="240" w:lineRule="auto"/>
        <w:jc w:val="both"/>
      </w:pPr>
      <w:r>
        <w:rPr>
          <w:noProof/>
          <w:lang w:eastAsia="it-IT"/>
        </w:rPr>
        <mc:AlternateContent>
          <mc:Choice Requires="wps">
            <w:drawing>
              <wp:inline distT="0" distB="0" distL="0" distR="0" wp14:anchorId="13460A07" wp14:editId="00FB5882">
                <wp:extent cx="304800" cy="304800"/>
                <wp:effectExtent l="0" t="0" r="0" b="0"/>
                <wp:docPr id="1" name="AutoShape 2" descr="Image not availab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497F0B" id="AutoShape 2" o:spid="_x0000_s1026" alt="Image not availab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2Lo4+&#10;wQIAANMFAAAOAAAAAAAAAAAAAAAAAC4CAABkcnMvZTJvRG9jLnhtbFBLAQItABQABgAIAAAAIQBM&#10;oOks2AAAAAMBAAAPAAAAAAAAAAAAAAAAABsFAABkcnMvZG93bnJldi54bWxQSwUGAAAAAAQABADz&#10;AAAAIAYAAAAA&#10;" filled="f" stroked="f">
                <o:lock v:ext="edit" aspectratio="t"/>
                <w10:anchorlock/>
              </v:rect>
            </w:pict>
          </mc:Fallback>
        </mc:AlternateContent>
      </w:r>
      <w:r>
        <w:rPr>
          <w:noProof/>
          <w:lang w:eastAsia="it-IT"/>
        </w:rPr>
        <w:drawing>
          <wp:inline distT="0" distB="0" distL="0" distR="0" wp14:anchorId="55ED4624" wp14:editId="0E355A98">
            <wp:extent cx="1971675" cy="137160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1371600"/>
                    </a:xfrm>
                    <a:prstGeom prst="rect">
                      <a:avLst/>
                    </a:prstGeom>
                    <a:noFill/>
                  </pic:spPr>
                </pic:pic>
              </a:graphicData>
            </a:graphic>
          </wp:inline>
        </w:drawing>
      </w:r>
    </w:p>
    <w:p w14:paraId="04EF28AB" w14:textId="65F7EABB" w:rsidR="00587C39" w:rsidRDefault="00587C39" w:rsidP="007F1E7E">
      <w:pPr>
        <w:spacing w:after="0" w:line="240" w:lineRule="auto"/>
        <w:jc w:val="both"/>
      </w:pPr>
    </w:p>
    <w:p w14:paraId="72F4F421" w14:textId="77777777" w:rsidR="00587C39" w:rsidRDefault="00587C39" w:rsidP="007F1E7E">
      <w:pPr>
        <w:spacing w:after="0" w:line="240" w:lineRule="auto"/>
        <w:jc w:val="both"/>
      </w:pPr>
    </w:p>
    <w:p w14:paraId="5C6EAD5B" w14:textId="77777777" w:rsidR="007F2C5E" w:rsidRPr="007F2C5E" w:rsidRDefault="007F1E7E" w:rsidP="007F2C5E">
      <w:r>
        <w:t xml:space="preserve">Formula molecolare: </w:t>
      </w:r>
      <w:r w:rsidR="007F2C5E" w:rsidRPr="007F2C5E">
        <w:t>C</w:t>
      </w:r>
      <w:r w:rsidR="007F2C5E" w:rsidRPr="007F2C5E">
        <w:rPr>
          <w:vertAlign w:val="subscript"/>
        </w:rPr>
        <w:t>9</w:t>
      </w:r>
      <w:r w:rsidR="007F2C5E" w:rsidRPr="007F2C5E">
        <w:t>H</w:t>
      </w:r>
      <w:r w:rsidR="007F2C5E" w:rsidRPr="007F2C5E">
        <w:rPr>
          <w:vertAlign w:val="subscript"/>
        </w:rPr>
        <w:t>13</w:t>
      </w:r>
      <w:r w:rsidR="007F2C5E" w:rsidRPr="007F2C5E">
        <w:t>N</w:t>
      </w:r>
      <w:r w:rsidR="007F2C5E" w:rsidRPr="007F2C5E">
        <w:rPr>
          <w:vertAlign w:val="subscript"/>
        </w:rPr>
        <w:t>5</w:t>
      </w:r>
      <w:r w:rsidR="007F2C5E" w:rsidRPr="007F2C5E">
        <w:t>O</w:t>
      </w:r>
      <w:r w:rsidR="007F2C5E" w:rsidRPr="007F2C5E">
        <w:rPr>
          <w:vertAlign w:val="subscript"/>
        </w:rPr>
        <w:t>4</w:t>
      </w:r>
    </w:p>
    <w:p w14:paraId="77CF8106" w14:textId="44535D09" w:rsidR="007F1E7E" w:rsidRDefault="007F1E7E" w:rsidP="007F1E7E">
      <w:pPr>
        <w:spacing w:after="0" w:line="240" w:lineRule="auto"/>
        <w:jc w:val="both"/>
      </w:pPr>
    </w:p>
    <w:p w14:paraId="6E95C541" w14:textId="4D7F873A" w:rsidR="007F1E7E" w:rsidRDefault="007F1E7E" w:rsidP="007F1E7E">
      <w:pPr>
        <w:spacing w:after="0" w:line="240" w:lineRule="auto"/>
        <w:jc w:val="both"/>
      </w:pPr>
      <w:r>
        <w:t xml:space="preserve">Peso molecolare: </w:t>
      </w:r>
      <w:r w:rsidR="007F2C5E">
        <w:t xml:space="preserve">255,2 </w:t>
      </w:r>
      <w:r>
        <w:t>g/</w:t>
      </w:r>
      <w:proofErr w:type="spellStart"/>
      <w:r>
        <w:t>mol</w:t>
      </w:r>
      <w:proofErr w:type="spellEnd"/>
    </w:p>
    <w:p w14:paraId="02BD350B" w14:textId="23E1DE52" w:rsidR="007F1E7E" w:rsidRDefault="007F1E7E" w:rsidP="007F1E7E">
      <w:pPr>
        <w:spacing w:after="0" w:line="240" w:lineRule="auto"/>
        <w:jc w:val="both"/>
      </w:pPr>
      <w:r>
        <w:t>CAS: [</w:t>
      </w:r>
      <w:r w:rsidR="007F2C5E" w:rsidRPr="007F2C5E">
        <w:t>82410-32-0</w:t>
      </w:r>
      <w:r>
        <w:t>]</w:t>
      </w:r>
    </w:p>
    <w:p w14:paraId="2FA8A629" w14:textId="15BC6BEA" w:rsidR="007F1E7E" w:rsidRDefault="007F1E7E" w:rsidP="007F1E7E">
      <w:pPr>
        <w:spacing w:after="0" w:line="240" w:lineRule="auto"/>
        <w:jc w:val="both"/>
      </w:pPr>
      <w:r>
        <w:t xml:space="preserve">Aspetto: </w:t>
      </w:r>
      <w:r w:rsidR="00D56F25">
        <w:t>polvere cristallina igroscopica bianca o biancastra.</w:t>
      </w:r>
    </w:p>
    <w:p w14:paraId="58F08245" w14:textId="07BAF8B5" w:rsidR="004E5A39" w:rsidRPr="00D56F25" w:rsidRDefault="007F1E7E" w:rsidP="00EF6711">
      <w:pPr>
        <w:spacing w:after="0" w:line="240" w:lineRule="auto"/>
        <w:jc w:val="both"/>
        <w:rPr>
          <w:rStyle w:val="s1"/>
          <w:rFonts w:asciiTheme="minorHAnsi" w:hAnsiTheme="minorHAnsi"/>
          <w:lang w:val="en-GB"/>
        </w:rPr>
      </w:pPr>
      <w:r w:rsidRPr="00D56F25">
        <w:t>Solubilità:</w:t>
      </w:r>
      <w:r w:rsidR="00D56F25" w:rsidRPr="00D56F25">
        <w:t xml:space="preserve"> poco solubile in acqua, molto poco solubile </w:t>
      </w:r>
      <w:r w:rsidR="00D56F25">
        <w:t>i</w:t>
      </w:r>
      <w:r w:rsidR="00D56F25" w:rsidRPr="00D56F25">
        <w:t xml:space="preserve">n etanolo </w:t>
      </w:r>
      <w:r w:rsidR="00D56F25">
        <w:t xml:space="preserve">(96%). </w:t>
      </w:r>
    </w:p>
    <w:p w14:paraId="1DC286B5" w14:textId="77777777" w:rsidR="004E5A39" w:rsidRPr="00D56F25" w:rsidRDefault="004E5A39" w:rsidP="00EF6711">
      <w:pPr>
        <w:spacing w:after="0" w:line="240" w:lineRule="auto"/>
        <w:jc w:val="both"/>
        <w:rPr>
          <w:highlight w:val="yellow"/>
          <w:lang w:val="en-GB"/>
        </w:rPr>
      </w:pPr>
    </w:p>
    <w:p w14:paraId="4AB687F9" w14:textId="77777777" w:rsidR="00B30431" w:rsidRPr="00D56F25" w:rsidRDefault="00B30431" w:rsidP="00EF6711">
      <w:pPr>
        <w:spacing w:after="0" w:line="240" w:lineRule="auto"/>
        <w:jc w:val="both"/>
        <w:rPr>
          <w:lang w:val="en-GB"/>
        </w:rPr>
      </w:pPr>
    </w:p>
    <w:p w14:paraId="2EC04A59" w14:textId="1CE0573C" w:rsidR="00D56F25" w:rsidRDefault="00D240AA" w:rsidP="00D56F25">
      <w:pPr>
        <w:spacing w:after="0" w:line="240" w:lineRule="auto"/>
        <w:jc w:val="both"/>
      </w:pPr>
      <w:r>
        <w:t>Il principio attivo è</w:t>
      </w:r>
      <w:r w:rsidR="00D56F25">
        <w:t xml:space="preserve"> presente in Farmacopea Europea; </w:t>
      </w:r>
      <w:r w:rsidR="00602458">
        <w:t xml:space="preserve">il Titolare </w:t>
      </w:r>
      <w:r w:rsidR="00D56F25">
        <w:t xml:space="preserve">ha presentato un modulo 3.2.S con i dati del fornitore di principio attivo. </w:t>
      </w:r>
    </w:p>
    <w:p w14:paraId="21F0F1CE" w14:textId="77777777" w:rsidR="00D56F25" w:rsidRDefault="00D56F25" w:rsidP="00D56F25">
      <w:pPr>
        <w:spacing w:after="0" w:line="240" w:lineRule="auto"/>
        <w:jc w:val="both"/>
      </w:pPr>
      <w:r>
        <w:t>La sintesi del principio attivo è stata adeguatamente descritta a partire da idonei materiali di partenza; sono utilizzati appropriati controlli di processo e intermedi di sintesi.</w:t>
      </w:r>
    </w:p>
    <w:p w14:paraId="33792B87" w14:textId="77777777" w:rsidR="00D56F25" w:rsidRDefault="00D56F25" w:rsidP="00D56F25">
      <w:pPr>
        <w:spacing w:after="0" w:line="240" w:lineRule="auto"/>
        <w:jc w:val="both"/>
      </w:pPr>
      <w:r>
        <w:t>I materiali e i reagenti utilizzati nella sintesi sono di qualità adeguata.</w:t>
      </w:r>
    </w:p>
    <w:p w14:paraId="4A879CA7" w14:textId="77777777" w:rsidR="00D56F25" w:rsidRDefault="00D56F25" w:rsidP="00D56F25">
      <w:pPr>
        <w:spacing w:after="0" w:line="240" w:lineRule="auto"/>
        <w:jc w:val="both"/>
      </w:pPr>
      <w:r>
        <w:t xml:space="preserve">I materiali, gli intermedi, i reagenti utilizzati nella sintesi non sono di origine umana, biologica o geneticamente modificata. Sono state fornite prove adeguate della struttura isolata. Tutte le potenziali </w:t>
      </w:r>
      <w:proofErr w:type="spellStart"/>
      <w:r>
        <w:t>impurezze</w:t>
      </w:r>
      <w:proofErr w:type="spellEnd"/>
      <w:r>
        <w:t xml:space="preserve"> note sono state identificate e caratterizzate.</w:t>
      </w:r>
    </w:p>
    <w:p w14:paraId="4F919EDD" w14:textId="77777777" w:rsidR="00D56F25" w:rsidRDefault="00D56F25" w:rsidP="00D56F25">
      <w:pPr>
        <w:spacing w:after="0" w:line="240" w:lineRule="auto"/>
        <w:jc w:val="both"/>
      </w:pPr>
      <w:r>
        <w:t>Le specifiche del principio attivo sono appropriate e controllate con metodi analitici adeguatamente convalidati. Sono stati forniti certificati analitici che confermano la qualità del principio attivo.</w:t>
      </w:r>
    </w:p>
    <w:p w14:paraId="20886937" w14:textId="5881D1EB" w:rsidR="00D56F25" w:rsidRDefault="00D56F25" w:rsidP="00D56F25">
      <w:pPr>
        <w:spacing w:after="0" w:line="240" w:lineRule="auto"/>
        <w:jc w:val="both"/>
      </w:pPr>
      <w:r>
        <w:t xml:space="preserve">Il principio attivo è confezionato in un adeguato contenitore, per il quale sono stati forniti specifiche e certificati analitici. Il confezionamento primario è costituito da </w:t>
      </w:r>
      <w:r w:rsidR="00602458">
        <w:t>bustina in PE-Al</w:t>
      </w:r>
      <w:r>
        <w:t>.</w:t>
      </w:r>
    </w:p>
    <w:p w14:paraId="54467234" w14:textId="1DBF3022" w:rsidR="000B7AC8" w:rsidRPr="00EF6711" w:rsidRDefault="00D56F25" w:rsidP="00D56F25">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w:t>
      </w:r>
      <w:r w:rsidR="00CD5676">
        <w:t>36</w:t>
      </w:r>
      <w:r>
        <w:t xml:space="preserve"> mesi</w:t>
      </w:r>
      <w:r w:rsidR="00CD5676">
        <w:t xml:space="preserve"> alla temperatura di 25 gradi</w:t>
      </w:r>
      <w:r>
        <w:t>.</w:t>
      </w:r>
    </w:p>
    <w:p w14:paraId="06974DAA" w14:textId="77777777" w:rsidR="00D240AA" w:rsidRDefault="00D240AA" w:rsidP="00EF6711">
      <w:pPr>
        <w:spacing w:after="0" w:line="240" w:lineRule="auto"/>
        <w:jc w:val="both"/>
        <w:rPr>
          <w:b/>
        </w:rPr>
      </w:pPr>
    </w:p>
    <w:p w14:paraId="2D9824E9" w14:textId="14F498D1" w:rsidR="004E5A39" w:rsidRPr="00EF6711" w:rsidRDefault="004E5A39" w:rsidP="00EF6711">
      <w:pPr>
        <w:spacing w:after="0" w:line="240" w:lineRule="auto"/>
        <w:jc w:val="both"/>
        <w:rPr>
          <w:b/>
        </w:rPr>
      </w:pPr>
      <w:r w:rsidRPr="00E60F13">
        <w:rPr>
          <w:b/>
        </w:rPr>
        <w:t>II.2 PRODOTTO FINITO</w:t>
      </w:r>
    </w:p>
    <w:p w14:paraId="40CCC753" w14:textId="77777777" w:rsidR="004E5A39" w:rsidRPr="00EF6711" w:rsidRDefault="004E5A39" w:rsidP="00EF6711">
      <w:pPr>
        <w:spacing w:after="0" w:line="240" w:lineRule="auto"/>
        <w:jc w:val="both"/>
        <w:rPr>
          <w:b/>
        </w:rPr>
      </w:pPr>
      <w:r w:rsidRPr="00EF6711">
        <w:rPr>
          <w:b/>
        </w:rPr>
        <w:t>Descrizione e composizione</w:t>
      </w:r>
    </w:p>
    <w:p w14:paraId="0B079C57" w14:textId="14BA1555" w:rsidR="004E5A39" w:rsidRPr="00EF6711" w:rsidRDefault="00A57CE8" w:rsidP="00EF6711">
      <w:pPr>
        <w:widowControl w:val="0"/>
        <w:spacing w:after="0" w:line="240" w:lineRule="auto"/>
        <w:jc w:val="both"/>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E72BDF">
        <w:rPr>
          <w:rFonts w:eastAsia="Calibri" w:cs="Calibri"/>
          <w:color w:val="000000"/>
          <w:lang w:eastAsia="it-IT"/>
        </w:rPr>
        <w:t xml:space="preserve"> </w:t>
      </w:r>
      <w:r w:rsidR="000B7AC8">
        <w:rPr>
          <w:rFonts w:eastAsia="Calibri" w:cs="Calibri"/>
          <w:color w:val="000000"/>
          <w:lang w:eastAsia="it-IT"/>
        </w:rPr>
        <w:t xml:space="preserve">è disponibile in </w:t>
      </w:r>
      <w:r w:rsidR="00CD5676">
        <w:rPr>
          <w:rFonts w:eastAsia="Calibri" w:cs="Calibri"/>
          <w:color w:val="000000"/>
          <w:lang w:eastAsia="it-IT"/>
        </w:rPr>
        <w:t>polvere per concentrato per soluzione per infusione</w:t>
      </w:r>
      <w:r w:rsidR="00B30431" w:rsidRPr="00EF6711">
        <w:rPr>
          <w:rFonts w:eastAsia="Calibri" w:cs="Calibri"/>
          <w:color w:val="000000"/>
          <w:lang w:eastAsia="it-IT"/>
        </w:rPr>
        <w:t>.</w:t>
      </w:r>
      <w:r w:rsidR="004E5A39" w:rsidRPr="00EF6711">
        <w:rPr>
          <w:rFonts w:cs="Helvetica"/>
        </w:rPr>
        <w:t xml:space="preserve"> </w:t>
      </w:r>
    </w:p>
    <w:p w14:paraId="0CBE51CF" w14:textId="77777777" w:rsidR="00D40150" w:rsidRDefault="00D40150" w:rsidP="00EF6711">
      <w:pPr>
        <w:spacing w:after="0" w:line="240" w:lineRule="auto"/>
        <w:jc w:val="both"/>
      </w:pPr>
      <w:r>
        <w:t>Gli eccipienti sono sodio idrossido ed acido cloridrico.</w:t>
      </w:r>
    </w:p>
    <w:p w14:paraId="331637D7" w14:textId="49252006" w:rsidR="004E5A39" w:rsidRDefault="00D40150" w:rsidP="00EF6711">
      <w:pPr>
        <w:spacing w:after="0" w:line="240" w:lineRule="auto"/>
        <w:jc w:val="both"/>
      </w:pPr>
      <w:r w:rsidRPr="00D40150">
        <w:t>Tutti gli eccipienti sono conformi alla relativa monografia di Farmacopea Europea</w:t>
      </w:r>
      <w:r w:rsidR="00D240AA">
        <w:t>.</w:t>
      </w:r>
    </w:p>
    <w:p w14:paraId="304A632B" w14:textId="4EA050D0" w:rsidR="00D40150" w:rsidRPr="00EF6711" w:rsidRDefault="003119ED" w:rsidP="00EF6711">
      <w:pPr>
        <w:spacing w:after="0" w:line="240" w:lineRule="auto"/>
        <w:jc w:val="both"/>
      </w:pPr>
      <w:r w:rsidRPr="003119ED">
        <w:t>Nessun eccipiente è ottenuto da organismi geneticamente modificati; non sono presenti eccipienti mai utilizzati nell’uomo.</w:t>
      </w:r>
    </w:p>
    <w:p w14:paraId="76690500" w14:textId="77777777" w:rsidR="004E5A39" w:rsidRPr="00EF6711" w:rsidRDefault="004E5A39" w:rsidP="00EF6711">
      <w:pPr>
        <w:spacing w:after="0" w:line="240" w:lineRule="auto"/>
        <w:jc w:val="both"/>
      </w:pPr>
    </w:p>
    <w:p w14:paraId="35F1BF4C" w14:textId="77777777" w:rsidR="004E5A39" w:rsidRPr="00EF6711" w:rsidRDefault="004E5A39" w:rsidP="00EF6711">
      <w:pPr>
        <w:spacing w:after="0" w:line="240" w:lineRule="auto"/>
        <w:jc w:val="both"/>
        <w:rPr>
          <w:b/>
        </w:rPr>
      </w:pPr>
      <w:r w:rsidRPr="00EF6711">
        <w:rPr>
          <w:b/>
        </w:rPr>
        <w:t>Sviluppo farmaceutico</w:t>
      </w:r>
    </w:p>
    <w:p w14:paraId="16448879"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5E3456D5" w14:textId="444F3BED" w:rsidR="004E5A39" w:rsidRPr="00EF6711" w:rsidRDefault="004E5A39" w:rsidP="00EF6711">
      <w:pPr>
        <w:spacing w:after="0" w:line="240" w:lineRule="auto"/>
        <w:jc w:val="both"/>
      </w:pPr>
      <w:r w:rsidRPr="00EF6711">
        <w:t xml:space="preserve">Sono stati forniti dati comparativi relativi al profilo di </w:t>
      </w:r>
      <w:proofErr w:type="spellStart"/>
      <w:r w:rsidRPr="00EF6711">
        <w:t>impurezze</w:t>
      </w:r>
      <w:proofErr w:type="spellEnd"/>
      <w:r w:rsidRPr="00EF6711">
        <w:t xml:space="preserve"> rispetto al medicinale di riferimento</w:t>
      </w:r>
      <w:r w:rsidR="00E72BDF">
        <w:t xml:space="preserve"> </w:t>
      </w:r>
      <w:proofErr w:type="spellStart"/>
      <w:r w:rsidR="003119ED">
        <w:t>Citovirax</w:t>
      </w:r>
      <w:proofErr w:type="spellEnd"/>
      <w:r w:rsidRPr="00EF6711">
        <w:t>. I dati sono soddisfacenti.</w:t>
      </w:r>
    </w:p>
    <w:p w14:paraId="18F41128" w14:textId="77777777" w:rsidR="004E5A39" w:rsidRPr="00EF6711" w:rsidRDefault="004E5A39" w:rsidP="00EF6711">
      <w:pPr>
        <w:spacing w:after="0" w:line="240" w:lineRule="auto"/>
        <w:jc w:val="both"/>
      </w:pPr>
    </w:p>
    <w:p w14:paraId="6642F4F5" w14:textId="77777777" w:rsidR="004E5A39" w:rsidRPr="00EF6711" w:rsidRDefault="004E5A39" w:rsidP="00EF6711">
      <w:pPr>
        <w:spacing w:after="0" w:line="240" w:lineRule="auto"/>
        <w:jc w:val="both"/>
        <w:rPr>
          <w:b/>
        </w:rPr>
      </w:pPr>
      <w:r w:rsidRPr="00EF6711">
        <w:rPr>
          <w:b/>
        </w:rPr>
        <w:lastRenderedPageBreak/>
        <w:t xml:space="preserve">Produzione </w:t>
      </w:r>
    </w:p>
    <w:p w14:paraId="31BC5B82" w14:textId="77777777" w:rsidR="004E5A39" w:rsidRPr="00EF6711" w:rsidRDefault="004E5A39" w:rsidP="00EF6711">
      <w:pPr>
        <w:spacing w:after="0" w:line="240" w:lineRule="auto"/>
        <w:jc w:val="both"/>
      </w:pPr>
      <w:r w:rsidRPr="00EF6711">
        <w:t>Sono stati forniti una descrizione del metodo di produzione e la relativa flow-chart.</w:t>
      </w:r>
    </w:p>
    <w:p w14:paraId="220F5169"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40B2F20D" w14:textId="77777777" w:rsidR="004E5A39" w:rsidRPr="00EF6711" w:rsidRDefault="004E5A39" w:rsidP="00EF6711">
      <w:pPr>
        <w:spacing w:after="0" w:line="240" w:lineRule="auto"/>
        <w:jc w:val="both"/>
      </w:pPr>
    </w:p>
    <w:p w14:paraId="2BFCAC73" w14:textId="77777777" w:rsidR="004E5A39" w:rsidRPr="00EF6711" w:rsidRDefault="004E5A39" w:rsidP="00EF6711">
      <w:pPr>
        <w:spacing w:after="0" w:line="240" w:lineRule="auto"/>
        <w:jc w:val="both"/>
        <w:rPr>
          <w:b/>
        </w:rPr>
      </w:pPr>
      <w:r w:rsidRPr="00EF6711">
        <w:rPr>
          <w:b/>
        </w:rPr>
        <w:t>Specifiche del prodotto finito</w:t>
      </w:r>
    </w:p>
    <w:p w14:paraId="17707572" w14:textId="77777777"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00E72BDF">
        <w:t xml:space="preserve"> prodotto finito</w:t>
      </w:r>
      <w:r w:rsidRPr="00EF6711">
        <w:t>: questi dati dimostrano che i lotti prodotti sono in accordo alle specifiche proposte. Sono stati forniti, infine, certificati analitici per gli standard di riferimento utilizzati.</w:t>
      </w:r>
    </w:p>
    <w:p w14:paraId="50565CB2" w14:textId="77777777" w:rsidR="004E5A39" w:rsidRPr="00EF6711" w:rsidRDefault="004E5A39" w:rsidP="00EF6711">
      <w:pPr>
        <w:spacing w:after="0" w:line="240" w:lineRule="auto"/>
        <w:jc w:val="both"/>
        <w:rPr>
          <w:b/>
        </w:rPr>
      </w:pPr>
    </w:p>
    <w:p w14:paraId="1C2F010B" w14:textId="77777777" w:rsidR="004E5A39" w:rsidRPr="00EF6711" w:rsidRDefault="004E5A39" w:rsidP="00EF6711">
      <w:pPr>
        <w:spacing w:after="0" w:line="240" w:lineRule="auto"/>
        <w:jc w:val="both"/>
        <w:rPr>
          <w:b/>
        </w:rPr>
      </w:pPr>
      <w:r w:rsidRPr="00EF6711">
        <w:rPr>
          <w:b/>
        </w:rPr>
        <w:t>Contenitore</w:t>
      </w:r>
    </w:p>
    <w:p w14:paraId="2AB4CDDC" w14:textId="6036443F" w:rsidR="003119ED" w:rsidRDefault="00A57CE8" w:rsidP="003119ED">
      <w:pPr>
        <w:spacing w:after="0" w:line="240" w:lineRule="auto"/>
        <w:jc w:val="both"/>
      </w:pPr>
      <w:proofErr w:type="spellStart"/>
      <w:r>
        <w:rPr>
          <w:rFonts w:eastAsia="Calibri" w:cs="Calibri"/>
          <w:color w:val="000000"/>
          <w:lang w:eastAsia="it-IT"/>
        </w:rPr>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C26FBF">
        <w:rPr>
          <w:rFonts w:eastAsia="Calibri" w:cs="Calibri"/>
          <w:color w:val="000000"/>
          <w:lang w:eastAsia="it-IT"/>
        </w:rPr>
        <w:t xml:space="preserve"> </w:t>
      </w:r>
      <w:r w:rsidR="004E5A39" w:rsidRPr="00EF6711">
        <w:t>è confezionato in</w:t>
      </w:r>
      <w:r w:rsidR="003119ED" w:rsidRPr="003119ED">
        <w:t xml:space="preserve"> </w:t>
      </w:r>
      <w:r w:rsidR="00342B0E">
        <w:t>f</w:t>
      </w:r>
      <w:r w:rsidR="00442636">
        <w:t>laconcino in vetro di t</w:t>
      </w:r>
      <w:r w:rsidR="003119ED" w:rsidRPr="003119ED">
        <w:t xml:space="preserve">ipo I con tappo in gomma </w:t>
      </w:r>
      <w:proofErr w:type="spellStart"/>
      <w:r w:rsidR="003119ED" w:rsidRPr="003119ED">
        <w:t>bromobutilica</w:t>
      </w:r>
      <w:proofErr w:type="spellEnd"/>
      <w:r w:rsidR="003119ED" w:rsidRPr="003119ED">
        <w:t xml:space="preserve"> e ghiera </w:t>
      </w:r>
      <w:proofErr w:type="spellStart"/>
      <w:r w:rsidR="003119ED" w:rsidRPr="003119ED">
        <w:t>flip</w:t>
      </w:r>
      <w:proofErr w:type="spellEnd"/>
      <w:r w:rsidR="003119ED" w:rsidRPr="003119ED">
        <w:t>-off in alluminio</w:t>
      </w:r>
      <w:r w:rsidR="003119ED">
        <w:t>.</w:t>
      </w:r>
    </w:p>
    <w:p w14:paraId="5247B772" w14:textId="3DA7D301" w:rsidR="00BA0ACD" w:rsidRPr="00EF6711" w:rsidRDefault="005754B8" w:rsidP="005754B8">
      <w:pPr>
        <w:spacing w:after="0" w:line="240" w:lineRule="auto"/>
        <w:jc w:val="both"/>
      </w:pPr>
      <w:r>
        <w:t>.</w:t>
      </w:r>
    </w:p>
    <w:p w14:paraId="24556FF3"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7CB48774" w14:textId="77777777" w:rsidR="00BA0ACD" w:rsidRPr="00EF6711" w:rsidRDefault="00BA0ACD" w:rsidP="00EF6711">
      <w:pPr>
        <w:spacing w:after="0" w:line="240" w:lineRule="auto"/>
        <w:jc w:val="both"/>
      </w:pPr>
    </w:p>
    <w:p w14:paraId="34BD669A" w14:textId="77777777" w:rsidR="004E5A39" w:rsidRPr="00EF6711" w:rsidRDefault="004E5A39" w:rsidP="00EF6711">
      <w:pPr>
        <w:spacing w:after="0" w:line="240" w:lineRule="auto"/>
        <w:jc w:val="both"/>
        <w:rPr>
          <w:b/>
        </w:rPr>
      </w:pPr>
      <w:r w:rsidRPr="00EF6711">
        <w:rPr>
          <w:b/>
        </w:rPr>
        <w:t>Stabilità</w:t>
      </w:r>
    </w:p>
    <w:p w14:paraId="12EF082B" w14:textId="4FA9D388" w:rsidR="00342B0E" w:rsidRDefault="004E5A39" w:rsidP="00342B0E">
      <w:pPr>
        <w:spacing w:after="0" w:line="240" w:lineRule="auto"/>
        <w:jc w:val="both"/>
      </w:pPr>
      <w:r w:rsidRPr="00EF6711">
        <w:t>Studi di stabilità sul prodotto finito sono stati condotti in accordo alle correnti linee guida e i risultati sono entro i limiti delle specifiche autorizzate. Sulla base di questi risultati, è stato autori</w:t>
      </w:r>
      <w:r w:rsidR="00342B0E">
        <w:t xml:space="preserve">zzato un periodo di validità </w:t>
      </w:r>
      <w:r w:rsidR="00334784" w:rsidRPr="00334784">
        <w:t xml:space="preserve">è </w:t>
      </w:r>
      <w:r w:rsidR="00342B0E">
        <w:t>24 mesi.</w:t>
      </w:r>
    </w:p>
    <w:p w14:paraId="77192452" w14:textId="77777777" w:rsidR="00342B0E" w:rsidRDefault="00342B0E" w:rsidP="00342B0E">
      <w:pPr>
        <w:spacing w:after="0" w:line="240" w:lineRule="auto"/>
        <w:jc w:val="both"/>
      </w:pPr>
    </w:p>
    <w:p w14:paraId="2316849C" w14:textId="71708346" w:rsidR="00342B0E" w:rsidRDefault="00700C17" w:rsidP="00342B0E">
      <w:pPr>
        <w:spacing w:after="0" w:line="240" w:lineRule="auto"/>
        <w:jc w:val="both"/>
      </w:pPr>
      <w:r>
        <w:t>P</w:t>
      </w:r>
      <w:r w:rsidR="00342B0E">
        <w:t xml:space="preserve">er quanto riguarda il medicinale ricostituito, la stabilità chimica e fisica in uso è stata dimostrata per 12 ore alla temperatura di 20-25°C dopo dissoluzione con acqua per preparazioni iniettabili. Non congelare. </w:t>
      </w:r>
    </w:p>
    <w:p w14:paraId="31EA23F2" w14:textId="77777777" w:rsidR="00342B0E" w:rsidRDefault="00342B0E" w:rsidP="00342B0E">
      <w:pPr>
        <w:spacing w:after="0" w:line="240" w:lineRule="auto"/>
        <w:jc w:val="both"/>
      </w:pPr>
    </w:p>
    <w:p w14:paraId="70FE7625" w14:textId="214AC8B3" w:rsidR="00342B0E" w:rsidRDefault="00342B0E" w:rsidP="00342B0E">
      <w:pPr>
        <w:spacing w:after="0" w:line="240" w:lineRule="auto"/>
        <w:jc w:val="both"/>
      </w:pPr>
      <w:r>
        <w:t xml:space="preserve">Dopo diluizione: </w:t>
      </w:r>
      <w:r w:rsidR="00700C17">
        <w:t>l</w:t>
      </w:r>
      <w:r>
        <w:t>a stabilità chimica e fisica in uso è stata dimostrata per 24 ore alla temperatura di 2-8°C (non congelare).</w:t>
      </w:r>
    </w:p>
    <w:p w14:paraId="6D074F91" w14:textId="77777777" w:rsidR="00342B0E" w:rsidRDefault="00342B0E" w:rsidP="00342B0E">
      <w:pPr>
        <w:spacing w:after="0" w:line="240" w:lineRule="auto"/>
        <w:jc w:val="both"/>
      </w:pPr>
    </w:p>
    <w:p w14:paraId="64AF886A" w14:textId="08157954" w:rsidR="00456AA7" w:rsidRDefault="00342B0E" w:rsidP="00342B0E">
      <w:pPr>
        <w:spacing w:after="0" w:line="240" w:lineRule="auto"/>
        <w:jc w:val="both"/>
      </w:pPr>
      <w:r>
        <w:t xml:space="preserve">Da un punto di vista microbiologico, la soluzione </w:t>
      </w:r>
      <w:r w:rsidR="00700C17">
        <w:t xml:space="preserve">per l’infusione di </w:t>
      </w:r>
      <w:proofErr w:type="spellStart"/>
      <w:r w:rsidR="00700C17">
        <w:t>Ganciclovir</w:t>
      </w:r>
      <w:proofErr w:type="spellEnd"/>
      <w:r w:rsidR="00700C17">
        <w:t xml:space="preserve"> </w:t>
      </w:r>
      <w:proofErr w:type="spellStart"/>
      <w:r w:rsidR="00700C17">
        <w:t>M</w:t>
      </w:r>
      <w:r>
        <w:t>edac</w:t>
      </w:r>
      <w:proofErr w:type="spellEnd"/>
      <w:r>
        <w:t xml:space="preserve"> deve essere utilizzata immediatamente. In caso contrario, i tempi di conservazione in uso e le condizioni di conservazione prima dell’uso rientrano nella responsabilità dell’utilizzatore e di norma non devono superare le 24 ore a 2-8°C, a meno che la ricostituzione e la diluizione non siano avvenute in condizioni asettiche controllate e convalidate.</w:t>
      </w:r>
    </w:p>
    <w:p w14:paraId="6115E65A" w14:textId="25C39C48" w:rsidR="004E5A39" w:rsidRDefault="004E5A39" w:rsidP="00EF6711">
      <w:pPr>
        <w:spacing w:after="0" w:line="240" w:lineRule="auto"/>
        <w:jc w:val="both"/>
      </w:pPr>
    </w:p>
    <w:p w14:paraId="5C4F2B6E" w14:textId="6441FA6B" w:rsidR="00456AA7" w:rsidRDefault="00456AA7" w:rsidP="00EF6711">
      <w:pPr>
        <w:spacing w:after="0" w:line="240" w:lineRule="auto"/>
        <w:jc w:val="both"/>
      </w:pPr>
    </w:p>
    <w:p w14:paraId="604755F5" w14:textId="1412077D" w:rsidR="004E5A39" w:rsidRPr="00EF6711" w:rsidRDefault="004E5A39" w:rsidP="00EF6711">
      <w:pPr>
        <w:spacing w:after="0" w:line="240" w:lineRule="auto"/>
        <w:jc w:val="both"/>
        <w:rPr>
          <w:b/>
        </w:rPr>
      </w:pPr>
      <w:r w:rsidRPr="00EF6711">
        <w:rPr>
          <w:b/>
        </w:rPr>
        <w:t>II.3 Discussione sugli aspetti di qualità</w:t>
      </w:r>
    </w:p>
    <w:p w14:paraId="2BB99489" w14:textId="19BF03B7" w:rsidR="004E5A39" w:rsidRPr="00EF6711" w:rsidRDefault="004E5A39" w:rsidP="00EF6711">
      <w:pPr>
        <w:spacing w:after="0" w:line="240" w:lineRule="auto"/>
        <w:jc w:val="both"/>
      </w:pPr>
      <w:r w:rsidRPr="00EF6711">
        <w:t xml:space="preserve">Tutte le criticità evidenziate nel corso della valutazione sono state risolte e la qualità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456AA7">
        <w:rPr>
          <w:rFonts w:eastAsia="Calibri" w:cs="Calibri"/>
          <w:color w:val="000000"/>
          <w:lang w:eastAsia="it-IT"/>
        </w:rPr>
        <w:t xml:space="preserve"> </w:t>
      </w:r>
      <w:r w:rsidRPr="00EF6711">
        <w:t xml:space="preserve">è considerata adeguata. Non ci sono obiezioni per l’approvazione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C73EFB">
        <w:rPr>
          <w:rFonts w:eastAsia="Calibri" w:cs="Calibri"/>
          <w:color w:val="000000"/>
          <w:lang w:eastAsia="it-IT"/>
        </w:rPr>
        <w:t xml:space="preserve"> </w:t>
      </w:r>
      <w:r w:rsidRPr="00EF6711">
        <w:t>dal punto di vista chimico-farmaceutico.</w:t>
      </w:r>
    </w:p>
    <w:p w14:paraId="09842144" w14:textId="77777777" w:rsidR="004E5A39" w:rsidRPr="00EF6711" w:rsidRDefault="004E5A39" w:rsidP="00EF6711">
      <w:pPr>
        <w:spacing w:after="0" w:line="240" w:lineRule="auto"/>
        <w:jc w:val="both"/>
      </w:pPr>
    </w:p>
    <w:p w14:paraId="2CFCEAD9" w14:textId="77777777" w:rsidR="004E5A39" w:rsidRPr="00EF6711" w:rsidRDefault="004E5A39" w:rsidP="00EF6711">
      <w:pPr>
        <w:spacing w:after="0" w:line="240" w:lineRule="auto"/>
        <w:jc w:val="both"/>
      </w:pPr>
    </w:p>
    <w:p w14:paraId="7DCA42B2" w14:textId="77777777"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14:paraId="536DABE3" w14:textId="5929D639" w:rsidR="000808A3" w:rsidRDefault="004E5A39" w:rsidP="00EF6711">
      <w:pPr>
        <w:spacing w:after="0" w:line="240" w:lineRule="auto"/>
        <w:jc w:val="both"/>
      </w:pPr>
      <w:r w:rsidRPr="00EF6711">
        <w:t xml:space="preserve">Non sono stati condotti specifici studi non clinici, in quanto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C46877">
        <w:rPr>
          <w:rFonts w:eastAsia="Calibri" w:cs="Calibri"/>
          <w:color w:val="000000"/>
          <w:lang w:eastAsia="it-IT"/>
        </w:rPr>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proofErr w:type="spellStart"/>
      <w:r w:rsidR="00342B0E">
        <w:rPr>
          <w:rFonts w:eastAsia="Calibri" w:cs="Calibri"/>
          <w:lang w:eastAsia="it-IT"/>
        </w:rPr>
        <w:t>Citovirax</w:t>
      </w:r>
      <w:proofErr w:type="spellEnd"/>
      <w:r w:rsidR="00C42AAC" w:rsidRPr="00EF6711">
        <w:t xml:space="preserve"> </w:t>
      </w:r>
      <w:r w:rsidRPr="00EF6711">
        <w:t>è autorizzato in Italia da oltre 10 anni</w:t>
      </w:r>
      <w:r w:rsidR="000808A3">
        <w:t>.</w:t>
      </w:r>
    </w:p>
    <w:p w14:paraId="3167FBCE" w14:textId="6AF8D3D9" w:rsidR="004E5A39" w:rsidRPr="00EF6711" w:rsidRDefault="000808A3" w:rsidP="00EF6711">
      <w:pPr>
        <w:spacing w:after="0" w:line="240" w:lineRule="auto"/>
        <w:jc w:val="both"/>
      </w:pPr>
      <w:r>
        <w:t xml:space="preserve">Le proprietà farmacodinamiche, farmacocinetiche e tossicologiche </w:t>
      </w:r>
      <w:r w:rsidR="00456AA7">
        <w:t xml:space="preserve">di </w:t>
      </w:r>
      <w:proofErr w:type="spellStart"/>
      <w:r w:rsidR="00342B0E">
        <w:t>ganciclovir</w:t>
      </w:r>
      <w:proofErr w:type="spellEnd"/>
      <w:r w:rsidR="0074624A">
        <w:t xml:space="preserve"> </w:t>
      </w:r>
      <w:r>
        <w:t xml:space="preserve">sono ben conosciute;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w:t>
      </w:r>
      <w:r w:rsidR="0055291C">
        <w:t xml:space="preserve">acocinetici e tossicologici </w:t>
      </w:r>
      <w:r w:rsidR="00456AA7">
        <w:t xml:space="preserve">di </w:t>
      </w:r>
      <w:proofErr w:type="spellStart"/>
      <w:r w:rsidR="00342B0E">
        <w:t>ganciclovir</w:t>
      </w:r>
      <w:proofErr w:type="spellEnd"/>
      <w:r>
        <w:t>.</w:t>
      </w:r>
    </w:p>
    <w:p w14:paraId="7D33ED97" w14:textId="77777777" w:rsidR="004E5A39" w:rsidRPr="00EF6711" w:rsidRDefault="004E5A39" w:rsidP="00EF6711">
      <w:pPr>
        <w:spacing w:after="0" w:line="240" w:lineRule="auto"/>
        <w:jc w:val="both"/>
      </w:pPr>
      <w:r w:rsidRPr="00EF6711">
        <w:t>Non ci sono obiezioni per l’approvazione dal punto di vista non clinico.</w:t>
      </w:r>
    </w:p>
    <w:p w14:paraId="4C2EBF4D" w14:textId="77777777" w:rsidR="004E5A39" w:rsidRPr="00EF6711" w:rsidRDefault="004E5A39" w:rsidP="00EF6711">
      <w:pPr>
        <w:spacing w:after="0" w:line="240" w:lineRule="auto"/>
        <w:jc w:val="both"/>
      </w:pPr>
    </w:p>
    <w:p w14:paraId="386DDA25" w14:textId="77777777" w:rsidR="004E5A39" w:rsidRPr="00EF6711" w:rsidRDefault="004E5A39" w:rsidP="00EF6711">
      <w:pPr>
        <w:spacing w:after="0" w:line="240" w:lineRule="auto"/>
        <w:jc w:val="both"/>
      </w:pPr>
    </w:p>
    <w:p w14:paraId="695689DE"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264596B4" w14:textId="18024067" w:rsidR="00342B0E" w:rsidRPr="00342B0E" w:rsidRDefault="00A57CE8" w:rsidP="00342B0E">
      <w:pPr>
        <w:rPr>
          <w:rFonts w:eastAsia="Calibri" w:cs="Calibri"/>
          <w:color w:val="000000"/>
          <w:lang w:eastAsia="it-IT"/>
        </w:rPr>
      </w:pPr>
      <w:proofErr w:type="spellStart"/>
      <w:r>
        <w:rPr>
          <w:rFonts w:eastAsia="Calibri" w:cs="Calibri"/>
          <w:color w:val="000000"/>
          <w:lang w:eastAsia="it-IT"/>
        </w:rPr>
        <w:lastRenderedPageBreak/>
        <w:t>Ganciclovir</w:t>
      </w:r>
      <w:proofErr w:type="spellEnd"/>
      <w:r>
        <w:rPr>
          <w:rFonts w:eastAsia="Calibri" w:cs="Calibri"/>
          <w:color w:val="000000"/>
          <w:lang w:eastAsia="it-IT"/>
        </w:rPr>
        <w:t xml:space="preserve"> </w:t>
      </w:r>
      <w:proofErr w:type="spellStart"/>
      <w:r>
        <w:rPr>
          <w:rFonts w:eastAsia="Calibri" w:cs="Calibri"/>
          <w:color w:val="000000"/>
          <w:lang w:eastAsia="it-IT"/>
        </w:rPr>
        <w:t>Medac</w:t>
      </w:r>
      <w:proofErr w:type="spellEnd"/>
      <w:r w:rsidR="0047101F" w:rsidRPr="00BF20AF">
        <w:rPr>
          <w:rFonts w:eastAsia="Calibri" w:cs="Calibri"/>
          <w:color w:val="000000"/>
          <w:lang w:eastAsia="it-IT"/>
        </w:rPr>
        <w:t xml:space="preserve"> </w:t>
      </w:r>
      <w:r w:rsidR="00BF20AF" w:rsidRPr="00BF20AF">
        <w:rPr>
          <w:rFonts w:eastAsia="Calibri" w:cs="Calibri"/>
          <w:color w:val="000000"/>
          <w:lang w:eastAsia="it-IT"/>
        </w:rPr>
        <w:t xml:space="preserve">è indicato </w:t>
      </w:r>
      <w:r w:rsidR="00342B0E" w:rsidRPr="00342B0E">
        <w:rPr>
          <w:rFonts w:eastAsia="Calibri" w:cs="Calibri"/>
          <w:color w:val="000000"/>
          <w:lang w:eastAsia="it-IT"/>
        </w:rPr>
        <w:t>negli adulti e negli adolescenti di età pari o superiore a 12 anni per:</w:t>
      </w:r>
    </w:p>
    <w:p w14:paraId="56B33B93" w14:textId="77777777" w:rsidR="00342B0E" w:rsidRPr="00342B0E" w:rsidRDefault="00342B0E" w:rsidP="00342B0E">
      <w:pPr>
        <w:rPr>
          <w:rFonts w:eastAsia="Calibri" w:cs="Calibri"/>
          <w:color w:val="000000"/>
          <w:lang w:eastAsia="it-IT"/>
        </w:rPr>
      </w:pPr>
      <w:r w:rsidRPr="00342B0E">
        <w:rPr>
          <w:rFonts w:eastAsia="Calibri" w:cs="Calibri"/>
          <w:color w:val="000000"/>
          <w:lang w:eastAsia="it-IT"/>
        </w:rPr>
        <w:t></w:t>
      </w:r>
      <w:r w:rsidRPr="00342B0E">
        <w:rPr>
          <w:rFonts w:eastAsia="Calibri" w:cs="Calibri"/>
          <w:color w:val="000000"/>
          <w:lang w:eastAsia="it-IT"/>
        </w:rPr>
        <w:tab/>
        <w:t xml:space="preserve">il trattamento di pazienti </w:t>
      </w:r>
      <w:proofErr w:type="spellStart"/>
      <w:r w:rsidRPr="00342B0E">
        <w:rPr>
          <w:rFonts w:eastAsia="Calibri" w:cs="Calibri"/>
          <w:color w:val="000000"/>
          <w:lang w:eastAsia="it-IT"/>
        </w:rPr>
        <w:t>immunocompromessi</w:t>
      </w:r>
      <w:proofErr w:type="spellEnd"/>
      <w:r w:rsidRPr="00342B0E">
        <w:rPr>
          <w:rFonts w:eastAsia="Calibri" w:cs="Calibri"/>
          <w:color w:val="000000"/>
          <w:lang w:eastAsia="it-IT"/>
        </w:rPr>
        <w:t xml:space="preserve"> con malattia da citomegalovirus (CMV);</w:t>
      </w:r>
    </w:p>
    <w:p w14:paraId="35015B7B" w14:textId="77777777" w:rsidR="00342B0E" w:rsidRPr="00342B0E" w:rsidRDefault="00342B0E" w:rsidP="00342B0E">
      <w:pPr>
        <w:rPr>
          <w:rFonts w:eastAsia="Calibri" w:cs="Calibri"/>
          <w:color w:val="000000"/>
          <w:lang w:eastAsia="it-IT"/>
        </w:rPr>
      </w:pPr>
      <w:r w:rsidRPr="00342B0E">
        <w:rPr>
          <w:rFonts w:eastAsia="Calibri" w:cs="Calibri"/>
          <w:color w:val="000000"/>
          <w:lang w:eastAsia="it-IT"/>
        </w:rPr>
        <w:t></w:t>
      </w:r>
      <w:r w:rsidRPr="00342B0E">
        <w:rPr>
          <w:rFonts w:eastAsia="Calibri" w:cs="Calibri"/>
          <w:color w:val="000000"/>
          <w:lang w:eastAsia="it-IT"/>
        </w:rPr>
        <w:tab/>
        <w:t>la prevenzione della malattia da CMV in pazienti con immunosoppressione indotta da farmaci (per esempio dopo trapianto di organo o chemioterapia oncologica).</w:t>
      </w:r>
    </w:p>
    <w:p w14:paraId="0655CFE4" w14:textId="101F58CD" w:rsidR="00B56BA3" w:rsidRDefault="00342B0E" w:rsidP="00342B0E">
      <w:pPr>
        <w:rPr>
          <w:rFonts w:cstheme="minorHAnsi"/>
          <w:sz w:val="24"/>
          <w:szCs w:val="24"/>
        </w:rPr>
      </w:pPr>
      <w:r w:rsidRPr="00342B0E">
        <w:rPr>
          <w:rFonts w:eastAsia="Calibri" w:cs="Calibri"/>
          <w:color w:val="000000"/>
          <w:lang w:eastAsia="it-IT"/>
        </w:rPr>
        <w:t>Devono essere prese in considerazione le linee guida ufficiali sull'uso appropriato degli agenti antivirali.</w:t>
      </w:r>
    </w:p>
    <w:p w14:paraId="23FD71FA" w14:textId="70A04AA0" w:rsidR="004E5A39" w:rsidRPr="00EF6711" w:rsidRDefault="004E5A39" w:rsidP="00342B0E">
      <w:pPr>
        <w:tabs>
          <w:tab w:val="left" w:pos="0"/>
        </w:tabs>
        <w:overflowPunct w:val="0"/>
        <w:autoSpaceDE w:val="0"/>
        <w:autoSpaceDN w:val="0"/>
        <w:adjustRightInd w:val="0"/>
        <w:spacing w:after="0" w:line="240" w:lineRule="auto"/>
        <w:jc w:val="both"/>
        <w:textAlignment w:val="baseline"/>
      </w:pPr>
    </w:p>
    <w:p w14:paraId="4D0A5BB6" w14:textId="77777777" w:rsidR="004E5A39" w:rsidRPr="00EF6711" w:rsidRDefault="004E5A39" w:rsidP="00EF6711">
      <w:pPr>
        <w:spacing w:after="0" w:line="240" w:lineRule="auto"/>
        <w:ind w:right="6"/>
        <w:jc w:val="both"/>
        <w:rPr>
          <w:b/>
        </w:rPr>
      </w:pPr>
      <w:r w:rsidRPr="00EF6711">
        <w:rPr>
          <w:b/>
        </w:rPr>
        <w:t>Posologia e modalità di somministrazione</w:t>
      </w:r>
    </w:p>
    <w:p w14:paraId="216D316E" w14:textId="77777777"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750E1A68" w14:textId="77777777" w:rsidR="004E5A39" w:rsidRPr="00EF6711" w:rsidRDefault="004E5A39" w:rsidP="00EF6711">
      <w:pPr>
        <w:spacing w:after="0" w:line="240" w:lineRule="auto"/>
        <w:ind w:right="6"/>
        <w:jc w:val="both"/>
        <w:rPr>
          <w:rFonts w:eastAsia="Calibri" w:cs="Calibri"/>
          <w:lang w:eastAsia="it-IT"/>
        </w:rPr>
      </w:pPr>
    </w:p>
    <w:p w14:paraId="3917F2A1" w14:textId="77777777"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14:paraId="66C3E539" w14:textId="645DDE06"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w:t>
      </w:r>
      <w:r w:rsidR="00342B0E">
        <w:rPr>
          <w:rFonts w:eastAsia="Calibri" w:cs="Calibri"/>
          <w:lang w:eastAsia="it-IT"/>
        </w:rPr>
        <w:t xml:space="preserve">di </w:t>
      </w:r>
      <w:proofErr w:type="spellStart"/>
      <w:r w:rsidR="00342B0E">
        <w:rPr>
          <w:rFonts w:eastAsia="Calibri" w:cs="Calibri"/>
          <w:lang w:eastAsia="it-IT"/>
        </w:rPr>
        <w:t>ganciclovir</w:t>
      </w:r>
      <w:proofErr w:type="spellEnd"/>
      <w:r w:rsidR="0047101F">
        <w:rPr>
          <w:rFonts w:eastAsia="Calibri" w:cs="Calibri"/>
          <w:lang w:eastAsia="it-IT"/>
        </w:rPr>
        <w:t xml:space="preserve"> </w:t>
      </w:r>
      <w:r w:rsidRPr="00EF6711">
        <w:rPr>
          <w:rFonts w:eastAsia="Calibri" w:cs="Calibri"/>
          <w:lang w:eastAsia="it-IT"/>
        </w:rPr>
        <w:t>è ben conosciuta; non è stato necessario presentare ulteriori dati.</w:t>
      </w:r>
    </w:p>
    <w:p w14:paraId="043DBAA4" w14:textId="77777777" w:rsidR="004E5A39" w:rsidRDefault="004E5A39" w:rsidP="00EF6711">
      <w:pPr>
        <w:spacing w:after="0" w:line="240" w:lineRule="auto"/>
        <w:ind w:right="6"/>
        <w:jc w:val="both"/>
        <w:rPr>
          <w:rFonts w:eastAsia="Calibri" w:cs="Calibri"/>
          <w:lang w:eastAsia="it-IT"/>
        </w:rPr>
      </w:pPr>
    </w:p>
    <w:p w14:paraId="4F2DCD84" w14:textId="77777777" w:rsidR="006727BD" w:rsidRDefault="006727BD" w:rsidP="006727BD">
      <w:pPr>
        <w:spacing w:after="0" w:line="240" w:lineRule="auto"/>
        <w:ind w:right="6"/>
        <w:jc w:val="both"/>
        <w:rPr>
          <w:rFonts w:eastAsia="Calibri" w:cs="Calibri"/>
          <w:b/>
          <w:i/>
          <w:sz w:val="20"/>
          <w:highlight w:val="green"/>
          <w:lang w:eastAsia="it-IT"/>
        </w:rPr>
      </w:pPr>
    </w:p>
    <w:p w14:paraId="2B3213AD" w14:textId="77777777" w:rsidR="006727BD" w:rsidRPr="006727BD" w:rsidRDefault="006727BD" w:rsidP="006727BD">
      <w:pPr>
        <w:spacing w:after="0" w:line="240" w:lineRule="auto"/>
        <w:jc w:val="both"/>
        <w:rPr>
          <w:rFonts w:cs="Arial"/>
          <w:b/>
        </w:rPr>
      </w:pPr>
      <w:r w:rsidRPr="006727BD">
        <w:rPr>
          <w:rFonts w:cs="Arial"/>
          <w:b/>
        </w:rPr>
        <w:t>Efficacia e sicurezza clinica</w:t>
      </w:r>
    </w:p>
    <w:p w14:paraId="3B299BB4" w14:textId="2D204BD6" w:rsidR="006727BD" w:rsidRPr="0055291C" w:rsidRDefault="006727BD" w:rsidP="00EF6711">
      <w:pPr>
        <w:spacing w:after="0" w:line="240" w:lineRule="auto"/>
        <w:jc w:val="both"/>
        <w:rPr>
          <w:b/>
          <w:i/>
          <w:sz w:val="20"/>
        </w:rPr>
      </w:pPr>
      <w:r>
        <w:rPr>
          <w:rFonts w:cs="Arial"/>
        </w:rPr>
        <w:t xml:space="preserve">Non sono stati presentati nuovi dati di efficacia e sicurezza clinica: il profilo di sicurezza e l’efficacia del principio attivo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BF20AF">
        <w:rPr>
          <w:rFonts w:eastAsia="Calibri" w:cs="Calibri"/>
          <w:color w:val="000000"/>
          <w:lang w:eastAsia="it-IT"/>
        </w:rPr>
        <w:t xml:space="preserve"> </w:t>
      </w:r>
      <w:r>
        <w:rPr>
          <w:rFonts w:cs="Arial"/>
        </w:rPr>
        <w:t xml:space="preserve">è ben conosciuto; inoltre, per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proofErr w:type="gramStart"/>
      <w:r w:rsidR="00A57CE8">
        <w:rPr>
          <w:rFonts w:eastAsia="Calibri" w:cs="Calibri"/>
          <w:color w:val="000000"/>
          <w:lang w:eastAsia="it-IT"/>
        </w:rPr>
        <w:t>Medac</w:t>
      </w:r>
      <w:proofErr w:type="spellEnd"/>
      <w:r w:rsidR="00BF20AF">
        <w:rPr>
          <w:rFonts w:eastAsia="Calibri" w:cs="Calibri"/>
          <w:color w:val="000000"/>
          <w:lang w:eastAsia="it-IT"/>
        </w:rPr>
        <w:t xml:space="preserve"> </w:t>
      </w:r>
      <w:r w:rsidRPr="006727BD">
        <w:rPr>
          <w:rFonts w:eastAsia="Calibri" w:cs="Calibri"/>
          <w:color w:val="000000"/>
          <w:lang w:eastAsia="it-IT"/>
        </w:rPr>
        <w:t xml:space="preserve"> </w:t>
      </w:r>
      <w:r>
        <w:rPr>
          <w:rFonts w:cs="Arial"/>
        </w:rPr>
        <w:t>è</w:t>
      </w:r>
      <w:proofErr w:type="gramEnd"/>
      <w:r>
        <w:rPr>
          <w:rFonts w:cs="Arial"/>
        </w:rPr>
        <w:t xml:space="preserve"> stato possibile concedere l’esenzione dalla conduzione di studi clinici di confronto con il medicinale di riferimento in quanto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B56BA3">
        <w:rPr>
          <w:rFonts w:eastAsia="Calibri" w:cs="Calibri"/>
          <w:color w:val="000000"/>
          <w:lang w:eastAsia="it-IT"/>
        </w:rPr>
        <w:t xml:space="preserve"> </w:t>
      </w:r>
      <w:r w:rsidR="00BF20AF">
        <w:rPr>
          <w:rFonts w:eastAsia="Calibri" w:cs="Calibri"/>
          <w:color w:val="000000"/>
          <w:lang w:eastAsia="it-IT"/>
        </w:rPr>
        <w:t xml:space="preserve"> </w:t>
      </w:r>
      <w:r w:rsidR="00E72BDF">
        <w:rPr>
          <w:rFonts w:eastAsia="Calibri" w:cs="Calibri"/>
          <w:color w:val="000000"/>
          <w:lang w:eastAsia="it-IT"/>
        </w:rPr>
        <w:t xml:space="preserve"> </w:t>
      </w:r>
      <w:r>
        <w:rPr>
          <w:rFonts w:cs="Arial"/>
        </w:rPr>
        <w:t xml:space="preserve">è somministrato </w:t>
      </w:r>
      <w:r w:rsidR="00BF20AF">
        <w:rPr>
          <w:rFonts w:cs="Arial"/>
        </w:rPr>
        <w:t>come</w:t>
      </w:r>
      <w:r w:rsidR="00700C17">
        <w:rPr>
          <w:rFonts w:cs="Arial"/>
        </w:rPr>
        <w:t xml:space="preserve"> polvere per </w:t>
      </w:r>
      <w:r w:rsidR="00BF20AF">
        <w:rPr>
          <w:rFonts w:cs="Arial"/>
        </w:rPr>
        <w:t xml:space="preserve"> </w:t>
      </w:r>
      <w:r w:rsidR="00342B0E">
        <w:rPr>
          <w:rFonts w:cs="Arial"/>
        </w:rPr>
        <w:t>concentrato per soluzione per infusione</w:t>
      </w:r>
      <w:r w:rsidRPr="0055291C">
        <w:rPr>
          <w:rFonts w:cs="Arial"/>
          <w:b/>
          <w:i/>
          <w:sz w:val="20"/>
        </w:rPr>
        <w:t>.</w:t>
      </w:r>
    </w:p>
    <w:p w14:paraId="464729A6" w14:textId="77777777" w:rsidR="005049A1" w:rsidRDefault="005049A1" w:rsidP="00EF6711">
      <w:pPr>
        <w:spacing w:after="0" w:line="240" w:lineRule="auto"/>
        <w:jc w:val="both"/>
        <w:rPr>
          <w:highlight w:val="cyan"/>
        </w:rPr>
      </w:pPr>
    </w:p>
    <w:p w14:paraId="3315964E" w14:textId="77777777" w:rsidR="004E5A39" w:rsidRPr="00EF6711" w:rsidRDefault="004E5A39" w:rsidP="00EF6711">
      <w:pPr>
        <w:pStyle w:val="Paragrafoelenco"/>
        <w:spacing w:after="0" w:line="240" w:lineRule="auto"/>
        <w:ind w:left="0"/>
        <w:jc w:val="both"/>
        <w:rPr>
          <w:b/>
        </w:rPr>
      </w:pPr>
      <w:r w:rsidRPr="00EF6711">
        <w:rPr>
          <w:b/>
        </w:rPr>
        <w:t>Piano di Valutazione del Rischio (</w:t>
      </w:r>
      <w:proofErr w:type="spellStart"/>
      <w:r w:rsidRPr="00EF6711">
        <w:rPr>
          <w:b/>
          <w:i/>
        </w:rPr>
        <w:t>Risk</w:t>
      </w:r>
      <w:proofErr w:type="spellEnd"/>
      <w:r w:rsidRPr="00EF6711">
        <w:rPr>
          <w:b/>
          <w:i/>
        </w:rPr>
        <w:t xml:space="preserve"> Management Plan</w:t>
      </w:r>
      <w:r w:rsidRPr="00EF6711">
        <w:rPr>
          <w:b/>
        </w:rPr>
        <w:t xml:space="preserve"> - RMP)</w:t>
      </w:r>
    </w:p>
    <w:p w14:paraId="5E33EF5F" w14:textId="12CEDFA5" w:rsidR="004E5A39" w:rsidRPr="00EF6711" w:rsidRDefault="00757FA2" w:rsidP="00EF6711">
      <w:pPr>
        <w:pStyle w:val="Paragrafoelenco"/>
        <w:spacing w:after="0" w:line="240" w:lineRule="auto"/>
        <w:ind w:left="0"/>
        <w:jc w:val="both"/>
      </w:pPr>
      <w:r>
        <w:rPr>
          <w:rFonts w:cstheme="minorHAnsi"/>
        </w:rPr>
        <w:t>È</w:t>
      </w:r>
      <w:r w:rsidR="004E5A39" w:rsidRPr="00EF6711">
        <w:t xml:space="preserve"> 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4E5A39" w:rsidRPr="00EF6711">
        <w:t>.</w:t>
      </w:r>
    </w:p>
    <w:p w14:paraId="097302D4"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1C404766" w14:textId="77777777"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8C14E0" w14:paraId="28E610A2" w14:textId="77777777" w:rsidTr="0042214D">
        <w:trPr>
          <w:jc w:val="center"/>
        </w:trPr>
        <w:tc>
          <w:tcPr>
            <w:tcW w:w="1560" w:type="pct"/>
            <w:shd w:val="clear" w:color="auto" w:fill="auto"/>
          </w:tcPr>
          <w:p w14:paraId="68FFD95C" w14:textId="77777777" w:rsidR="00265B61" w:rsidRPr="008C14E0" w:rsidRDefault="00265B61" w:rsidP="0042214D">
            <w:pPr>
              <w:pStyle w:val="TabletextrowsAgency"/>
              <w:spacing w:line="240" w:lineRule="auto"/>
              <w:jc w:val="both"/>
              <w:rPr>
                <w:rFonts w:asciiTheme="minorHAnsi" w:hAnsiTheme="minorHAnsi"/>
                <w:sz w:val="22"/>
                <w:szCs w:val="22"/>
                <w:lang w:eastAsia="en-GB"/>
              </w:rPr>
            </w:pPr>
            <w:proofErr w:type="spellStart"/>
            <w:r w:rsidRPr="008C14E0">
              <w:rPr>
                <w:rFonts w:asciiTheme="minorHAnsi" w:hAnsiTheme="minorHAnsi"/>
                <w:sz w:val="22"/>
                <w:szCs w:val="22"/>
                <w:lang w:eastAsia="en-GB"/>
              </w:rPr>
              <w:t>Rischi</w:t>
            </w:r>
            <w:proofErr w:type="spellEnd"/>
            <w:r w:rsidRPr="008C14E0">
              <w:rPr>
                <w:rFonts w:asciiTheme="minorHAnsi" w:hAnsiTheme="minorHAnsi"/>
                <w:sz w:val="22"/>
                <w:szCs w:val="22"/>
                <w:lang w:eastAsia="en-GB"/>
              </w:rPr>
              <w:t xml:space="preserve"> </w:t>
            </w:r>
            <w:proofErr w:type="spellStart"/>
            <w:r w:rsidRPr="008C14E0">
              <w:rPr>
                <w:rFonts w:asciiTheme="minorHAnsi" w:hAnsiTheme="minorHAnsi"/>
                <w:sz w:val="22"/>
                <w:szCs w:val="22"/>
                <w:lang w:eastAsia="en-GB"/>
              </w:rPr>
              <w:t>importanti</w:t>
            </w:r>
            <w:proofErr w:type="spellEnd"/>
            <w:r w:rsidRPr="008C14E0">
              <w:rPr>
                <w:rFonts w:asciiTheme="minorHAnsi" w:hAnsiTheme="minorHAnsi"/>
                <w:sz w:val="22"/>
                <w:szCs w:val="22"/>
                <w:lang w:eastAsia="en-GB"/>
              </w:rPr>
              <w:t xml:space="preserve"> </w:t>
            </w:r>
            <w:proofErr w:type="spellStart"/>
            <w:r w:rsidRPr="008C14E0">
              <w:rPr>
                <w:rFonts w:asciiTheme="minorHAnsi" w:hAnsiTheme="minorHAnsi"/>
                <w:sz w:val="22"/>
                <w:szCs w:val="22"/>
                <w:lang w:eastAsia="en-GB"/>
              </w:rPr>
              <w:t>identificati</w:t>
            </w:r>
            <w:proofErr w:type="spellEnd"/>
          </w:p>
        </w:tc>
        <w:tc>
          <w:tcPr>
            <w:tcW w:w="3440" w:type="pct"/>
            <w:shd w:val="clear" w:color="auto" w:fill="auto"/>
          </w:tcPr>
          <w:p w14:paraId="0B1B19BE" w14:textId="77777777" w:rsidR="00FB5A12" w:rsidRPr="008C14E0" w:rsidRDefault="008B1BEB" w:rsidP="00430919">
            <w:pPr>
              <w:pStyle w:val="Paragrafoelenco"/>
              <w:numPr>
                <w:ilvl w:val="0"/>
                <w:numId w:val="6"/>
              </w:numPr>
              <w:spacing w:after="0" w:line="240" w:lineRule="auto"/>
            </w:pPr>
            <w:r w:rsidRPr="008C14E0">
              <w:t>Ipersensibilità</w:t>
            </w:r>
            <w:r w:rsidR="00FB5A12" w:rsidRPr="008C14E0">
              <w:t>.</w:t>
            </w:r>
          </w:p>
          <w:p w14:paraId="14A10055" w14:textId="77777777" w:rsidR="008B1BEB" w:rsidRPr="008C14E0" w:rsidRDefault="008B1BEB" w:rsidP="00430919">
            <w:pPr>
              <w:pStyle w:val="Paragrafoelenco"/>
              <w:numPr>
                <w:ilvl w:val="0"/>
                <w:numId w:val="6"/>
              </w:numPr>
              <w:spacing w:after="0" w:line="240" w:lineRule="auto"/>
            </w:pPr>
            <w:r w:rsidRPr="008C14E0">
              <w:t xml:space="preserve">Citopenia </w:t>
            </w:r>
            <w:proofErr w:type="spellStart"/>
            <w:r w:rsidRPr="008C14E0">
              <w:t>ematopietica</w:t>
            </w:r>
            <w:proofErr w:type="spellEnd"/>
            <w:r w:rsidRPr="008C14E0">
              <w:t xml:space="preserve"> ed infezioni ed emorragie associate.</w:t>
            </w:r>
          </w:p>
          <w:p w14:paraId="72844963" w14:textId="58003E3E" w:rsidR="008B1BEB" w:rsidRPr="008C14E0" w:rsidRDefault="008B1BEB" w:rsidP="00430919">
            <w:pPr>
              <w:pStyle w:val="Paragrafoelenco"/>
              <w:numPr>
                <w:ilvl w:val="0"/>
                <w:numId w:val="6"/>
              </w:numPr>
              <w:spacing w:after="0" w:line="240" w:lineRule="auto"/>
            </w:pPr>
            <w:r w:rsidRPr="008C14E0">
              <w:t>Infertilità maschile.</w:t>
            </w:r>
          </w:p>
          <w:p w14:paraId="3A429F4D" w14:textId="3B95268B" w:rsidR="008B1BEB" w:rsidRPr="008C14E0" w:rsidRDefault="008B1BEB" w:rsidP="00430919">
            <w:pPr>
              <w:pStyle w:val="Paragrafoelenco"/>
              <w:numPr>
                <w:ilvl w:val="0"/>
                <w:numId w:val="6"/>
              </w:numPr>
              <w:spacing w:after="0" w:line="240" w:lineRule="auto"/>
            </w:pPr>
            <w:r w:rsidRPr="008C14E0">
              <w:t xml:space="preserve">Convulsioni dovute ad interazione con </w:t>
            </w:r>
            <w:proofErr w:type="spellStart"/>
            <w:r w:rsidRPr="008C14E0">
              <w:t>imipenem-cilastina</w:t>
            </w:r>
            <w:proofErr w:type="spellEnd"/>
            <w:r w:rsidRPr="008C14E0">
              <w:t>.</w:t>
            </w:r>
          </w:p>
        </w:tc>
      </w:tr>
      <w:tr w:rsidR="00265B61" w:rsidRPr="008C14E0" w14:paraId="3A114743"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D18F184" w14:textId="77777777" w:rsidR="00265B61" w:rsidRPr="008C14E0" w:rsidRDefault="00265B61" w:rsidP="0042214D">
            <w:pPr>
              <w:pStyle w:val="TabletextrowsAgency"/>
              <w:spacing w:line="240" w:lineRule="auto"/>
              <w:jc w:val="both"/>
              <w:rPr>
                <w:rFonts w:asciiTheme="minorHAnsi" w:hAnsiTheme="minorHAnsi"/>
                <w:sz w:val="22"/>
                <w:szCs w:val="22"/>
                <w:lang w:val="it-IT" w:eastAsia="en-GB"/>
              </w:rPr>
            </w:pPr>
            <w:r w:rsidRPr="008C14E0">
              <w:rPr>
                <w:rFonts w:asciiTheme="minorHAnsi" w:hAnsiTheme="minorHAnsi"/>
                <w:sz w:val="22"/>
                <w:szCs w:val="22"/>
                <w:lang w:val="it-IT"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54BD09DD" w14:textId="012C2A33" w:rsidR="00265B61" w:rsidRPr="008C14E0" w:rsidRDefault="008B1BEB" w:rsidP="008B1BEB">
            <w:pPr>
              <w:pStyle w:val="Paragrafoelenco"/>
              <w:numPr>
                <w:ilvl w:val="0"/>
                <w:numId w:val="6"/>
              </w:numPr>
              <w:autoSpaceDE w:val="0"/>
              <w:autoSpaceDN w:val="0"/>
              <w:adjustRightInd w:val="0"/>
              <w:spacing w:after="0" w:line="240" w:lineRule="auto"/>
              <w:rPr>
                <w:lang w:eastAsia="en-GB"/>
              </w:rPr>
            </w:pPr>
            <w:r w:rsidRPr="008C14E0">
              <w:rPr>
                <w:lang w:eastAsia="en-GB"/>
              </w:rPr>
              <w:t>Esposizione durante la gravidanza.</w:t>
            </w:r>
          </w:p>
          <w:p w14:paraId="5F9B5DC6" w14:textId="77777777" w:rsidR="008B1BEB" w:rsidRPr="008C14E0" w:rsidRDefault="008B1BEB" w:rsidP="008B1BEB">
            <w:pPr>
              <w:pStyle w:val="Paragrafoelenco"/>
              <w:numPr>
                <w:ilvl w:val="0"/>
                <w:numId w:val="6"/>
              </w:numPr>
              <w:autoSpaceDE w:val="0"/>
              <w:autoSpaceDN w:val="0"/>
              <w:adjustRightInd w:val="0"/>
              <w:spacing w:after="0" w:line="240" w:lineRule="auto"/>
              <w:rPr>
                <w:lang w:eastAsia="en-GB"/>
              </w:rPr>
            </w:pPr>
            <w:r w:rsidRPr="008C14E0">
              <w:rPr>
                <w:lang w:eastAsia="en-GB"/>
              </w:rPr>
              <w:t>Possibilità di overdose in pazienti con compromissione renale.</w:t>
            </w:r>
          </w:p>
          <w:p w14:paraId="16C12491" w14:textId="0AA49AF5" w:rsidR="008B1BEB" w:rsidRPr="008C14E0" w:rsidRDefault="008B1BEB" w:rsidP="008B1BEB">
            <w:pPr>
              <w:pStyle w:val="Paragrafoelenco"/>
              <w:numPr>
                <w:ilvl w:val="0"/>
                <w:numId w:val="6"/>
              </w:numPr>
              <w:autoSpaceDE w:val="0"/>
              <w:autoSpaceDN w:val="0"/>
              <w:adjustRightInd w:val="0"/>
              <w:spacing w:after="0" w:line="240" w:lineRule="auto"/>
              <w:rPr>
                <w:lang w:eastAsia="en-GB"/>
              </w:rPr>
            </w:pPr>
            <w:r w:rsidRPr="008C14E0">
              <w:rPr>
                <w:lang w:eastAsia="en-GB"/>
              </w:rPr>
              <w:t>Possibile interazione con medicinali che sono escreti attraverso i reni</w:t>
            </w:r>
          </w:p>
          <w:p w14:paraId="748082F0" w14:textId="77777777" w:rsidR="008B1BEB" w:rsidRPr="008C14E0" w:rsidRDefault="008B1BEB" w:rsidP="008B1BEB">
            <w:pPr>
              <w:pStyle w:val="Paragrafoelenco"/>
              <w:numPr>
                <w:ilvl w:val="0"/>
                <w:numId w:val="6"/>
              </w:numPr>
              <w:autoSpaceDE w:val="0"/>
              <w:autoSpaceDN w:val="0"/>
              <w:adjustRightInd w:val="0"/>
              <w:spacing w:after="0" w:line="240" w:lineRule="auto"/>
              <w:rPr>
                <w:lang w:eastAsia="en-GB"/>
              </w:rPr>
            </w:pPr>
            <w:r w:rsidRPr="008C14E0">
              <w:rPr>
                <w:lang w:eastAsia="en-GB"/>
              </w:rPr>
              <w:t>Cancerogenicità.</w:t>
            </w:r>
          </w:p>
          <w:p w14:paraId="35DEA94A" w14:textId="70CD66B2" w:rsidR="008B1BEB" w:rsidRPr="008C14E0" w:rsidRDefault="008C14E0" w:rsidP="008B1BEB">
            <w:pPr>
              <w:pStyle w:val="Paragrafoelenco"/>
              <w:numPr>
                <w:ilvl w:val="0"/>
                <w:numId w:val="6"/>
              </w:numPr>
              <w:autoSpaceDE w:val="0"/>
              <w:autoSpaceDN w:val="0"/>
              <w:adjustRightInd w:val="0"/>
              <w:spacing w:after="0" w:line="240" w:lineRule="auto"/>
              <w:rPr>
                <w:lang w:eastAsia="en-GB"/>
              </w:rPr>
            </w:pPr>
            <w:r>
              <w:rPr>
                <w:lang w:eastAsia="en-GB"/>
              </w:rPr>
              <w:t>Possibile interazione co</w:t>
            </w:r>
            <w:r w:rsidR="008B1BEB" w:rsidRPr="008C14E0">
              <w:rPr>
                <w:lang w:eastAsia="en-GB"/>
              </w:rPr>
              <w:t>n altri medicinali che causa</w:t>
            </w:r>
            <w:r w:rsidR="0096086A">
              <w:rPr>
                <w:lang w:eastAsia="en-GB"/>
              </w:rPr>
              <w:t>no</w:t>
            </w:r>
            <w:r w:rsidR="008B1BEB" w:rsidRPr="008C14E0">
              <w:rPr>
                <w:lang w:eastAsia="en-GB"/>
              </w:rPr>
              <w:t xml:space="preserve"> </w:t>
            </w:r>
            <w:proofErr w:type="spellStart"/>
            <w:r w:rsidR="008B1BEB" w:rsidRPr="008C14E0">
              <w:rPr>
                <w:lang w:eastAsia="en-GB"/>
              </w:rPr>
              <w:t>mielosoppressione</w:t>
            </w:r>
            <w:proofErr w:type="spellEnd"/>
            <w:r w:rsidR="008B1BEB" w:rsidRPr="008C14E0">
              <w:rPr>
                <w:lang w:eastAsia="en-GB"/>
              </w:rPr>
              <w:t xml:space="preserve">. </w:t>
            </w:r>
          </w:p>
        </w:tc>
      </w:tr>
      <w:tr w:rsidR="00265B61" w:rsidRPr="00102697" w14:paraId="5A6EF914"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43E7A4D7" w14:textId="77777777" w:rsidR="00265B61" w:rsidRPr="008C14E0" w:rsidRDefault="00265B61" w:rsidP="0042214D">
            <w:pPr>
              <w:pStyle w:val="TabletextrowsAgency"/>
              <w:spacing w:line="240" w:lineRule="auto"/>
              <w:jc w:val="both"/>
              <w:rPr>
                <w:rFonts w:asciiTheme="minorHAnsi" w:hAnsiTheme="minorHAnsi"/>
                <w:sz w:val="22"/>
                <w:szCs w:val="22"/>
                <w:lang w:val="it-IT" w:eastAsia="en-GB"/>
              </w:rPr>
            </w:pPr>
            <w:r w:rsidRPr="008C14E0">
              <w:rPr>
                <w:rFonts w:asciiTheme="minorHAnsi" w:hAnsiTheme="minorHAnsi"/>
                <w:sz w:val="22"/>
                <w:szCs w:val="22"/>
                <w:lang w:val="it-IT"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54B069B2" w14:textId="77777777" w:rsidR="00E54C26" w:rsidRPr="008C14E0" w:rsidRDefault="008B1BEB" w:rsidP="008B1BEB">
            <w:pPr>
              <w:pStyle w:val="Paragrafoelenco"/>
              <w:numPr>
                <w:ilvl w:val="0"/>
                <w:numId w:val="6"/>
              </w:numPr>
              <w:autoSpaceDE w:val="0"/>
              <w:autoSpaceDN w:val="0"/>
              <w:adjustRightInd w:val="0"/>
              <w:spacing w:after="0" w:line="240" w:lineRule="auto"/>
              <w:rPr>
                <w:rFonts w:ascii="Calibri" w:hAnsi="Calibri" w:cs="Calibri"/>
              </w:rPr>
            </w:pPr>
            <w:r w:rsidRPr="008C14E0">
              <w:rPr>
                <w:rFonts w:ascii="Calibri" w:hAnsi="Calibri" w:cs="Calibri"/>
              </w:rPr>
              <w:t>Esposizione in pazienti anziani.</w:t>
            </w:r>
          </w:p>
          <w:p w14:paraId="5E49258C" w14:textId="4C6575BE" w:rsidR="008B1BEB" w:rsidRPr="008C14E0" w:rsidRDefault="008C14E0" w:rsidP="008B1BEB">
            <w:pPr>
              <w:pStyle w:val="Paragrafoelenco"/>
              <w:numPr>
                <w:ilvl w:val="0"/>
                <w:numId w:val="6"/>
              </w:numPr>
              <w:autoSpaceDE w:val="0"/>
              <w:autoSpaceDN w:val="0"/>
              <w:adjustRightInd w:val="0"/>
              <w:spacing w:after="0" w:line="240" w:lineRule="auto"/>
              <w:rPr>
                <w:rFonts w:ascii="Calibri" w:hAnsi="Calibri" w:cs="Calibri"/>
              </w:rPr>
            </w:pPr>
            <w:r w:rsidRPr="008C14E0">
              <w:rPr>
                <w:rFonts w:ascii="Calibri" w:hAnsi="Calibri" w:cs="Calibri"/>
              </w:rPr>
              <w:t xml:space="preserve">Esposizione in pazienti pediatrici </w:t>
            </w:r>
            <w:r w:rsidR="0096086A">
              <w:rPr>
                <w:rFonts w:ascii="Calibri" w:hAnsi="Calibri" w:cs="Calibri"/>
              </w:rPr>
              <w:t>sotto</w:t>
            </w:r>
            <w:r w:rsidRPr="008C14E0">
              <w:rPr>
                <w:rFonts w:ascii="Calibri" w:hAnsi="Calibri" w:cs="Calibri"/>
              </w:rPr>
              <w:t xml:space="preserve"> i 12 anni di età.</w:t>
            </w:r>
          </w:p>
          <w:p w14:paraId="28AB9B3B" w14:textId="53F98A45" w:rsidR="008C14E0" w:rsidRPr="008C14E0" w:rsidRDefault="008C14E0" w:rsidP="008B1BEB">
            <w:pPr>
              <w:pStyle w:val="Paragrafoelenco"/>
              <w:numPr>
                <w:ilvl w:val="0"/>
                <w:numId w:val="6"/>
              </w:numPr>
              <w:autoSpaceDE w:val="0"/>
              <w:autoSpaceDN w:val="0"/>
              <w:adjustRightInd w:val="0"/>
              <w:spacing w:after="0" w:line="240" w:lineRule="auto"/>
              <w:rPr>
                <w:rFonts w:ascii="Calibri" w:hAnsi="Calibri" w:cs="Calibri"/>
              </w:rPr>
            </w:pPr>
            <w:r w:rsidRPr="008C14E0">
              <w:rPr>
                <w:rFonts w:ascii="Calibri" w:hAnsi="Calibri" w:cs="Calibri"/>
              </w:rPr>
              <w:t xml:space="preserve">Esposizione durante l’allattamento. </w:t>
            </w:r>
          </w:p>
        </w:tc>
      </w:tr>
    </w:tbl>
    <w:p w14:paraId="6E565B84" w14:textId="77777777" w:rsidR="00265B61" w:rsidRPr="00102697" w:rsidRDefault="00265B61" w:rsidP="00265B61">
      <w:pPr>
        <w:pStyle w:val="Paragrafoelenco"/>
        <w:spacing w:after="0" w:line="240" w:lineRule="auto"/>
        <w:ind w:left="0"/>
        <w:jc w:val="both"/>
        <w:rPr>
          <w:highlight w:val="yellow"/>
        </w:rPr>
      </w:pPr>
    </w:p>
    <w:p w14:paraId="0201BC56"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17A2D994" w14:textId="77777777"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r w:rsidR="00C73EFB">
        <w:t>.</w:t>
      </w:r>
    </w:p>
    <w:p w14:paraId="5D81CE4B" w14:textId="77777777" w:rsidR="004E5A39" w:rsidRPr="00EF6711" w:rsidRDefault="004E5A39" w:rsidP="00EF6711">
      <w:pPr>
        <w:pStyle w:val="Paragrafoelenco"/>
        <w:spacing w:after="0" w:line="240" w:lineRule="auto"/>
        <w:ind w:left="0"/>
        <w:jc w:val="both"/>
      </w:pPr>
    </w:p>
    <w:p w14:paraId="57D407AF" w14:textId="77777777" w:rsidR="004E5A39" w:rsidRPr="00EF6711" w:rsidRDefault="004E5A39" w:rsidP="00EF6711">
      <w:pPr>
        <w:pStyle w:val="Paragrafoelenco"/>
        <w:spacing w:after="0" w:line="240" w:lineRule="auto"/>
        <w:ind w:left="0"/>
        <w:jc w:val="both"/>
        <w:rPr>
          <w:b/>
        </w:rPr>
      </w:pPr>
      <w:r w:rsidRPr="00EF6711">
        <w:rPr>
          <w:b/>
        </w:rPr>
        <w:t>Conclusioni</w:t>
      </w:r>
    </w:p>
    <w:p w14:paraId="7C37A8C0" w14:textId="697D01CE" w:rsidR="004E5A39" w:rsidRPr="00EF6711" w:rsidRDefault="004E5A39" w:rsidP="00EF6711">
      <w:pPr>
        <w:pStyle w:val="Paragrafoelenco"/>
        <w:spacing w:after="0" w:line="240" w:lineRule="auto"/>
        <w:ind w:left="0"/>
        <w:jc w:val="both"/>
      </w:pPr>
      <w:r w:rsidRPr="00EF6711">
        <w:t>Per la richiesta di AIC di</w:t>
      </w:r>
      <w:r w:rsidR="00462BC2">
        <w:rPr>
          <w:rFonts w:eastAsia="Calibri" w:cs="Calibri"/>
          <w:color w:val="000000"/>
          <w:lang w:eastAsia="it-IT"/>
        </w:rPr>
        <w:t xml:space="preserve">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462BC2">
        <w:rPr>
          <w:rFonts w:eastAsia="Calibri" w:cs="Calibri"/>
          <w:color w:val="000000"/>
          <w:lang w:eastAsia="it-IT"/>
        </w:rPr>
        <w:t xml:space="preserve"> </w:t>
      </w:r>
      <w:r w:rsidRPr="00EF6711">
        <w:t>sono state presentate sufficienti informazioni cliniche.</w:t>
      </w:r>
    </w:p>
    <w:p w14:paraId="7E51C854" w14:textId="5C927005" w:rsidR="004E5A39" w:rsidRPr="00EF6711" w:rsidRDefault="004E5A39" w:rsidP="00EF6711">
      <w:pPr>
        <w:pStyle w:val="Paragrafoelenco"/>
        <w:spacing w:after="0" w:line="240" w:lineRule="auto"/>
        <w:ind w:left="0"/>
        <w:jc w:val="both"/>
      </w:pPr>
      <w:r w:rsidRPr="00EF6711">
        <w:t xml:space="preserve">Il rapporto beneficio/rischio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462BC2">
        <w:rPr>
          <w:rFonts w:eastAsia="Calibri" w:cs="Calibri"/>
          <w:color w:val="000000"/>
          <w:lang w:eastAsia="it-IT"/>
        </w:rPr>
        <w:t xml:space="preserve"> </w:t>
      </w:r>
      <w:r w:rsidRPr="00EF6711">
        <w:t>è considerato favorevole dal punto di vista clinico.</w:t>
      </w:r>
    </w:p>
    <w:p w14:paraId="227F4504" w14:textId="77777777" w:rsidR="004E5A39" w:rsidRPr="00EF6711" w:rsidRDefault="004E5A39" w:rsidP="00EF6711">
      <w:pPr>
        <w:pStyle w:val="Paragrafoelenco"/>
        <w:spacing w:after="0" w:line="240" w:lineRule="auto"/>
        <w:ind w:left="0"/>
        <w:jc w:val="both"/>
      </w:pPr>
    </w:p>
    <w:p w14:paraId="07875FBB" w14:textId="77777777" w:rsidR="004E5A39" w:rsidRPr="00EF6711" w:rsidRDefault="004E5A39" w:rsidP="00EF6711">
      <w:pPr>
        <w:pStyle w:val="Paragrafoelenco"/>
        <w:spacing w:after="0" w:line="240" w:lineRule="auto"/>
        <w:ind w:left="0"/>
        <w:jc w:val="both"/>
      </w:pPr>
    </w:p>
    <w:p w14:paraId="6F704207"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40A1F01E" w14:textId="77777777" w:rsidR="004E5A39" w:rsidRPr="00EF6711" w:rsidRDefault="004E5A39" w:rsidP="00EF6711">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14:paraId="1F858631" w14:textId="77777777" w:rsidR="004E5A39" w:rsidRPr="00EF6711" w:rsidRDefault="004E5A39" w:rsidP="00EF6711">
      <w:pPr>
        <w:pStyle w:val="Paragrafoelenco"/>
        <w:spacing w:after="0" w:line="240" w:lineRule="auto"/>
        <w:ind w:left="0"/>
        <w:jc w:val="both"/>
      </w:pPr>
    </w:p>
    <w:p w14:paraId="6079D0BA" w14:textId="77777777" w:rsidR="004E5A39" w:rsidRPr="00EF6711" w:rsidRDefault="004E5A39" w:rsidP="00EF6711">
      <w:pPr>
        <w:spacing w:after="0" w:line="240" w:lineRule="auto"/>
        <w:jc w:val="both"/>
      </w:pPr>
    </w:p>
    <w:p w14:paraId="3C4961FD"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6640E865" w14:textId="6151CF76" w:rsidR="004E5A39" w:rsidRDefault="004E5A39" w:rsidP="00EF6711">
      <w:pPr>
        <w:spacing w:after="0" w:line="240" w:lineRule="auto"/>
        <w:jc w:val="both"/>
      </w:pPr>
      <w:r w:rsidRPr="00EF6711">
        <w:t xml:space="preserve">La qualità di </w:t>
      </w:r>
      <w:proofErr w:type="spellStart"/>
      <w:r w:rsidR="00A57CE8">
        <w:rPr>
          <w:rFonts w:eastAsia="Calibri" w:cs="Calibri"/>
          <w:color w:val="000000"/>
          <w:lang w:eastAsia="it-IT"/>
        </w:rPr>
        <w:t>Ganciclovir</w:t>
      </w:r>
      <w:proofErr w:type="spellEnd"/>
      <w:r w:rsidR="00A57CE8">
        <w:rPr>
          <w:rFonts w:eastAsia="Calibri" w:cs="Calibri"/>
          <w:color w:val="000000"/>
          <w:lang w:eastAsia="it-IT"/>
        </w:rPr>
        <w:t xml:space="preserve"> </w:t>
      </w:r>
      <w:proofErr w:type="spellStart"/>
      <w:r w:rsidR="00A57CE8">
        <w:rPr>
          <w:rFonts w:eastAsia="Calibri" w:cs="Calibri"/>
          <w:color w:val="000000"/>
          <w:lang w:eastAsia="it-IT"/>
        </w:rPr>
        <w:t>Medac</w:t>
      </w:r>
      <w:proofErr w:type="spellEnd"/>
      <w:r w:rsidR="00BE7CDB">
        <w:rPr>
          <w:rFonts w:eastAsia="Calibri" w:cs="Calibri"/>
          <w:color w:val="000000"/>
          <w:lang w:eastAsia="it-IT"/>
        </w:rPr>
        <w:t xml:space="preserve"> </w:t>
      </w:r>
      <w:r w:rsidRPr="00EF6711">
        <w:t>è accettabile e non sono state rilevate criticità da un punto di vista non clinico e clinico.</w:t>
      </w:r>
    </w:p>
    <w:p w14:paraId="63206173" w14:textId="77777777" w:rsidR="004E5A39" w:rsidRPr="00EF6711" w:rsidRDefault="004E5A39" w:rsidP="00EF6711">
      <w:pPr>
        <w:spacing w:after="0" w:line="240" w:lineRule="auto"/>
        <w:jc w:val="both"/>
      </w:pPr>
      <w:r w:rsidRPr="00EF6711">
        <w:t>Il rapporto beneficio/rischio è considerato positivo.</w:t>
      </w:r>
    </w:p>
    <w:p w14:paraId="6C477528" w14:textId="77777777"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1"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0C666D74" w14:textId="77777777"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E95ED3" w16cid:durableId="23748A6F"/>
  <w16cid:commentId w16cid:paraId="264CAFAD" w16cid:durableId="23748E1F"/>
  <w16cid:commentId w16cid:paraId="69E79ABE" w16cid:durableId="23748A70"/>
  <w16cid:commentId w16cid:paraId="75285FE9" w16cid:durableId="23748A71"/>
  <w16cid:commentId w16cid:paraId="28F45546" w16cid:durableId="23748A72"/>
  <w16cid:commentId w16cid:paraId="00EA08B2" w16cid:durableId="23748EF3"/>
  <w16cid:commentId w16cid:paraId="2F66D3B5" w16cid:durableId="23748FC0"/>
  <w16cid:commentId w16cid:paraId="4428A806" w16cid:durableId="2374917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049F2"/>
    <w:multiLevelType w:val="hybridMultilevel"/>
    <w:tmpl w:val="97B0AD18"/>
    <w:lvl w:ilvl="0" w:tplc="A0D6A7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14A56"/>
    <w:rsid w:val="00020D88"/>
    <w:rsid w:val="00022511"/>
    <w:rsid w:val="00023CEA"/>
    <w:rsid w:val="000367D3"/>
    <w:rsid w:val="000441A9"/>
    <w:rsid w:val="00051DCB"/>
    <w:rsid w:val="00062636"/>
    <w:rsid w:val="000808A3"/>
    <w:rsid w:val="000A1E50"/>
    <w:rsid w:val="000A4BA1"/>
    <w:rsid w:val="000B7AC8"/>
    <w:rsid w:val="000E1F86"/>
    <w:rsid w:val="000E4494"/>
    <w:rsid w:val="000F658F"/>
    <w:rsid w:val="00102697"/>
    <w:rsid w:val="00111E9E"/>
    <w:rsid w:val="001340E7"/>
    <w:rsid w:val="00136E1F"/>
    <w:rsid w:val="0014204E"/>
    <w:rsid w:val="00143F76"/>
    <w:rsid w:val="00145EA5"/>
    <w:rsid w:val="001460CA"/>
    <w:rsid w:val="001554E3"/>
    <w:rsid w:val="001C15DF"/>
    <w:rsid w:val="001D43E5"/>
    <w:rsid w:val="001D7AA7"/>
    <w:rsid w:val="001F3D58"/>
    <w:rsid w:val="001F55A4"/>
    <w:rsid w:val="002176B5"/>
    <w:rsid w:val="0022639C"/>
    <w:rsid w:val="00231DCA"/>
    <w:rsid w:val="00236AD2"/>
    <w:rsid w:val="0024132B"/>
    <w:rsid w:val="00242DF5"/>
    <w:rsid w:val="00265B61"/>
    <w:rsid w:val="00274E60"/>
    <w:rsid w:val="00277A0E"/>
    <w:rsid w:val="002E5363"/>
    <w:rsid w:val="002E59F5"/>
    <w:rsid w:val="002E5E24"/>
    <w:rsid w:val="002E62B6"/>
    <w:rsid w:val="002F2543"/>
    <w:rsid w:val="002F4000"/>
    <w:rsid w:val="00300BEA"/>
    <w:rsid w:val="003017A9"/>
    <w:rsid w:val="003061E0"/>
    <w:rsid w:val="003119ED"/>
    <w:rsid w:val="00334784"/>
    <w:rsid w:val="00342B0E"/>
    <w:rsid w:val="00367CE0"/>
    <w:rsid w:val="003770A3"/>
    <w:rsid w:val="00391221"/>
    <w:rsid w:val="00395AB8"/>
    <w:rsid w:val="003C6973"/>
    <w:rsid w:val="003F0F25"/>
    <w:rsid w:val="00411424"/>
    <w:rsid w:val="00420906"/>
    <w:rsid w:val="0042214D"/>
    <w:rsid w:val="00423A97"/>
    <w:rsid w:val="004241AC"/>
    <w:rsid w:val="00430919"/>
    <w:rsid w:val="0043227F"/>
    <w:rsid w:val="0044199D"/>
    <w:rsid w:val="00442636"/>
    <w:rsid w:val="0044610F"/>
    <w:rsid w:val="00456AA7"/>
    <w:rsid w:val="0046014D"/>
    <w:rsid w:val="004609F8"/>
    <w:rsid w:val="00462BC2"/>
    <w:rsid w:val="0047101F"/>
    <w:rsid w:val="00487581"/>
    <w:rsid w:val="00497C6A"/>
    <w:rsid w:val="004A1EE1"/>
    <w:rsid w:val="004A21FF"/>
    <w:rsid w:val="004B20A8"/>
    <w:rsid w:val="004C478F"/>
    <w:rsid w:val="004D0E49"/>
    <w:rsid w:val="004E5A39"/>
    <w:rsid w:val="004F451D"/>
    <w:rsid w:val="00500ACA"/>
    <w:rsid w:val="005049A1"/>
    <w:rsid w:val="00504FC1"/>
    <w:rsid w:val="00506C70"/>
    <w:rsid w:val="0055291C"/>
    <w:rsid w:val="0056372C"/>
    <w:rsid w:val="00567615"/>
    <w:rsid w:val="005754B8"/>
    <w:rsid w:val="00587C39"/>
    <w:rsid w:val="005950D6"/>
    <w:rsid w:val="005A4B22"/>
    <w:rsid w:val="005B0705"/>
    <w:rsid w:val="00602458"/>
    <w:rsid w:val="006055B7"/>
    <w:rsid w:val="00611021"/>
    <w:rsid w:val="00621AE2"/>
    <w:rsid w:val="0062432F"/>
    <w:rsid w:val="00642D6A"/>
    <w:rsid w:val="0064646C"/>
    <w:rsid w:val="00654D9E"/>
    <w:rsid w:val="00663A47"/>
    <w:rsid w:val="00664931"/>
    <w:rsid w:val="006727BD"/>
    <w:rsid w:val="00673783"/>
    <w:rsid w:val="0067464A"/>
    <w:rsid w:val="00696072"/>
    <w:rsid w:val="0069743F"/>
    <w:rsid w:val="006A15D8"/>
    <w:rsid w:val="006A7560"/>
    <w:rsid w:val="006B311C"/>
    <w:rsid w:val="006B3E12"/>
    <w:rsid w:val="006C79F0"/>
    <w:rsid w:val="006D7B8C"/>
    <w:rsid w:val="006E4745"/>
    <w:rsid w:val="006E590A"/>
    <w:rsid w:val="00700C17"/>
    <w:rsid w:val="00702C97"/>
    <w:rsid w:val="00702F9F"/>
    <w:rsid w:val="007134BD"/>
    <w:rsid w:val="0071500B"/>
    <w:rsid w:val="00716DF5"/>
    <w:rsid w:val="007170D7"/>
    <w:rsid w:val="007221B6"/>
    <w:rsid w:val="00723021"/>
    <w:rsid w:val="00732396"/>
    <w:rsid w:val="007440B8"/>
    <w:rsid w:val="0074624A"/>
    <w:rsid w:val="00752998"/>
    <w:rsid w:val="00757FA2"/>
    <w:rsid w:val="00766E26"/>
    <w:rsid w:val="00783368"/>
    <w:rsid w:val="00787D86"/>
    <w:rsid w:val="00797416"/>
    <w:rsid w:val="007C20F7"/>
    <w:rsid w:val="007D5BF5"/>
    <w:rsid w:val="007E7DE6"/>
    <w:rsid w:val="007F01A3"/>
    <w:rsid w:val="007F1E7E"/>
    <w:rsid w:val="007F2C5E"/>
    <w:rsid w:val="00823F4C"/>
    <w:rsid w:val="0082601C"/>
    <w:rsid w:val="008433FF"/>
    <w:rsid w:val="008547B3"/>
    <w:rsid w:val="00866D89"/>
    <w:rsid w:val="008819D4"/>
    <w:rsid w:val="0088216F"/>
    <w:rsid w:val="008A2E78"/>
    <w:rsid w:val="008A6FEC"/>
    <w:rsid w:val="008B1BEB"/>
    <w:rsid w:val="008B60D7"/>
    <w:rsid w:val="008C14E0"/>
    <w:rsid w:val="008C3D30"/>
    <w:rsid w:val="008D1529"/>
    <w:rsid w:val="008D28D7"/>
    <w:rsid w:val="00920448"/>
    <w:rsid w:val="00926255"/>
    <w:rsid w:val="00943785"/>
    <w:rsid w:val="00957832"/>
    <w:rsid w:val="0096086A"/>
    <w:rsid w:val="00963989"/>
    <w:rsid w:val="00977362"/>
    <w:rsid w:val="009A23DE"/>
    <w:rsid w:val="009A260F"/>
    <w:rsid w:val="009B03DB"/>
    <w:rsid w:val="009C4E91"/>
    <w:rsid w:val="009C7A81"/>
    <w:rsid w:val="009D3446"/>
    <w:rsid w:val="009D60D7"/>
    <w:rsid w:val="009E0140"/>
    <w:rsid w:val="009E2BC0"/>
    <w:rsid w:val="009F3867"/>
    <w:rsid w:val="00A01AB1"/>
    <w:rsid w:val="00A378B6"/>
    <w:rsid w:val="00A40CDC"/>
    <w:rsid w:val="00A40FF3"/>
    <w:rsid w:val="00A57CE8"/>
    <w:rsid w:val="00A62D55"/>
    <w:rsid w:val="00A908B9"/>
    <w:rsid w:val="00A9631E"/>
    <w:rsid w:val="00A966D1"/>
    <w:rsid w:val="00AB541A"/>
    <w:rsid w:val="00AC6378"/>
    <w:rsid w:val="00AE104A"/>
    <w:rsid w:val="00B023E9"/>
    <w:rsid w:val="00B1186F"/>
    <w:rsid w:val="00B22EAE"/>
    <w:rsid w:val="00B251F9"/>
    <w:rsid w:val="00B30431"/>
    <w:rsid w:val="00B42950"/>
    <w:rsid w:val="00B56BA3"/>
    <w:rsid w:val="00B700F1"/>
    <w:rsid w:val="00B745CF"/>
    <w:rsid w:val="00BA0ACD"/>
    <w:rsid w:val="00BA1A7B"/>
    <w:rsid w:val="00BA631E"/>
    <w:rsid w:val="00BB2AF8"/>
    <w:rsid w:val="00BB7B54"/>
    <w:rsid w:val="00BC027E"/>
    <w:rsid w:val="00BC12DC"/>
    <w:rsid w:val="00BC74C2"/>
    <w:rsid w:val="00BE7CDB"/>
    <w:rsid w:val="00BF20AF"/>
    <w:rsid w:val="00BF55B9"/>
    <w:rsid w:val="00BF7A42"/>
    <w:rsid w:val="00C06933"/>
    <w:rsid w:val="00C162B0"/>
    <w:rsid w:val="00C2565A"/>
    <w:rsid w:val="00C26FBF"/>
    <w:rsid w:val="00C42AAC"/>
    <w:rsid w:val="00C46877"/>
    <w:rsid w:val="00C66597"/>
    <w:rsid w:val="00C67A1E"/>
    <w:rsid w:val="00C73EFB"/>
    <w:rsid w:val="00C94135"/>
    <w:rsid w:val="00CC52A3"/>
    <w:rsid w:val="00CC7AFF"/>
    <w:rsid w:val="00CD5676"/>
    <w:rsid w:val="00CD6FDB"/>
    <w:rsid w:val="00CD7494"/>
    <w:rsid w:val="00CE62A1"/>
    <w:rsid w:val="00D11062"/>
    <w:rsid w:val="00D13A46"/>
    <w:rsid w:val="00D20170"/>
    <w:rsid w:val="00D212AA"/>
    <w:rsid w:val="00D240AA"/>
    <w:rsid w:val="00D26545"/>
    <w:rsid w:val="00D40150"/>
    <w:rsid w:val="00D56F25"/>
    <w:rsid w:val="00D60600"/>
    <w:rsid w:val="00D63096"/>
    <w:rsid w:val="00D6428C"/>
    <w:rsid w:val="00D804EA"/>
    <w:rsid w:val="00D9047B"/>
    <w:rsid w:val="00DB359A"/>
    <w:rsid w:val="00DE7485"/>
    <w:rsid w:val="00DF6225"/>
    <w:rsid w:val="00E013B2"/>
    <w:rsid w:val="00E10D6C"/>
    <w:rsid w:val="00E13115"/>
    <w:rsid w:val="00E43089"/>
    <w:rsid w:val="00E54C26"/>
    <w:rsid w:val="00E60F13"/>
    <w:rsid w:val="00E72BDF"/>
    <w:rsid w:val="00E83F8D"/>
    <w:rsid w:val="00E860CF"/>
    <w:rsid w:val="00EC00B6"/>
    <w:rsid w:val="00EC0D9E"/>
    <w:rsid w:val="00EC3589"/>
    <w:rsid w:val="00EC7E6B"/>
    <w:rsid w:val="00ED4E6F"/>
    <w:rsid w:val="00ED6666"/>
    <w:rsid w:val="00EE7981"/>
    <w:rsid w:val="00EF062E"/>
    <w:rsid w:val="00EF6711"/>
    <w:rsid w:val="00F03508"/>
    <w:rsid w:val="00F06CB7"/>
    <w:rsid w:val="00F2379E"/>
    <w:rsid w:val="00F345A6"/>
    <w:rsid w:val="00F40945"/>
    <w:rsid w:val="00F53ABE"/>
    <w:rsid w:val="00F66767"/>
    <w:rsid w:val="00F738E8"/>
    <w:rsid w:val="00F85989"/>
    <w:rsid w:val="00F91276"/>
    <w:rsid w:val="00F924E5"/>
    <w:rsid w:val="00F96473"/>
    <w:rsid w:val="00FA2398"/>
    <w:rsid w:val="00FA2702"/>
    <w:rsid w:val="00FA3909"/>
    <w:rsid w:val="00FA6A2E"/>
    <w:rsid w:val="00FB5A12"/>
    <w:rsid w:val="00FC2411"/>
    <w:rsid w:val="00FD7FBB"/>
    <w:rsid w:val="00FE5D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D0E2"/>
  <w15:docId w15:val="{732D8ED5-0371-4F38-8F42-4802FABF3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1"/>
    <w:semiHidden/>
    <w:unhideWhenUsed/>
    <w:qFormat/>
    <w:rsid w:val="006E590A"/>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CorpotestoCarattere">
    <w:name w:val="Corpo testo Carattere"/>
    <w:basedOn w:val="Carpredefinitoparagrafo"/>
    <w:link w:val="Corpotesto"/>
    <w:uiPriority w:val="1"/>
    <w:semiHidden/>
    <w:rsid w:val="006E590A"/>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2176B5"/>
    <w:rPr>
      <w:sz w:val="16"/>
      <w:szCs w:val="16"/>
    </w:rPr>
  </w:style>
  <w:style w:type="paragraph" w:styleId="Testocommento">
    <w:name w:val="annotation text"/>
    <w:basedOn w:val="Normale"/>
    <w:link w:val="TestocommentoCarattere"/>
    <w:uiPriority w:val="99"/>
    <w:semiHidden/>
    <w:unhideWhenUsed/>
    <w:rsid w:val="002176B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176B5"/>
    <w:rPr>
      <w:sz w:val="20"/>
      <w:szCs w:val="20"/>
    </w:rPr>
  </w:style>
  <w:style w:type="paragraph" w:styleId="Soggettocommento">
    <w:name w:val="annotation subject"/>
    <w:basedOn w:val="Testocommento"/>
    <w:next w:val="Testocommento"/>
    <w:link w:val="SoggettocommentoCarattere"/>
    <w:uiPriority w:val="99"/>
    <w:semiHidden/>
    <w:unhideWhenUsed/>
    <w:rsid w:val="002176B5"/>
    <w:rPr>
      <w:b/>
      <w:bCs/>
    </w:rPr>
  </w:style>
  <w:style w:type="character" w:customStyle="1" w:styleId="SoggettocommentoCarattere">
    <w:name w:val="Soggetto commento Carattere"/>
    <w:basedOn w:val="TestocommentoCarattere"/>
    <w:link w:val="Soggettocommento"/>
    <w:uiPriority w:val="99"/>
    <w:semiHidden/>
    <w:rsid w:val="002176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140999207">
      <w:bodyDiv w:val="1"/>
      <w:marLeft w:val="0"/>
      <w:marRight w:val="0"/>
      <w:marTop w:val="0"/>
      <w:marBottom w:val="0"/>
      <w:divBdr>
        <w:top w:val="none" w:sz="0" w:space="0" w:color="auto"/>
        <w:left w:val="none" w:sz="0" w:space="0" w:color="auto"/>
        <w:bottom w:val="none" w:sz="0" w:space="0" w:color="auto"/>
        <w:right w:val="none" w:sz="0" w:space="0" w:color="auto"/>
      </w:divBdr>
    </w:div>
    <w:div w:id="21109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1F13E-3676-4BBD-A4F5-EB08FE9A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2900</Words>
  <Characters>16534</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rovazzanid</cp:lastModifiedBy>
  <cp:revision>8</cp:revision>
  <dcterms:created xsi:type="dcterms:W3CDTF">2021-12-09T12:25:00Z</dcterms:created>
  <dcterms:modified xsi:type="dcterms:W3CDTF">2021-12-09T12:36:00Z</dcterms:modified>
</cp:coreProperties>
</file>