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65B2838" w14:textId="77777777" w:rsidR="004241AC" w:rsidRPr="002A3F14" w:rsidRDefault="00340DC4" w:rsidP="004241AC">
      <w:pPr>
        <w:spacing w:after="0" w:line="240" w:lineRule="auto"/>
        <w:jc w:val="center"/>
        <w:rPr>
          <w:lang w:val="en-US"/>
        </w:rPr>
      </w:pPr>
      <w:r>
        <w:rPr>
          <w:noProof/>
          <w:lang w:eastAsia="it-IT"/>
        </w:rPr>
        <w:drawing>
          <wp:inline distT="0" distB="0" distL="0" distR="0" wp14:anchorId="665B2A7C" wp14:editId="665B2A7D">
            <wp:extent cx="2143125" cy="847725"/>
            <wp:effectExtent l="19050" t="0" r="9525" b="0"/>
            <wp:docPr id="1" name="Immagin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magine 1"/>
                    <pic:cNvPicPr>
                      <a:picLocks/>
                    </pic:cNvPicPr>
                  </pic:nvPicPr>
                  <pic:blipFill>
                    <a:blip r:embed="rId8" cstate="print">
                      <a:extLst>
                        <a:ext uri="{28A0092B-C50C-407E-A947-70E740481C1C}">
                          <a14:useLocalDpi xmlns:a14="http://schemas.microsoft.com/office/drawing/2010/main" val="0"/>
                        </a:ext>
                      </a:extLst>
                    </a:blip>
                    <a:stretch>
                      <a:fillRect/>
                    </a:stretch>
                  </pic:blipFill>
                  <pic:spPr bwMode="auto">
                    <a:xfrm>
                      <a:off x="0" y="0"/>
                      <a:ext cx="2148419" cy="849819"/>
                    </a:xfrm>
                    <a:prstGeom prst="rect">
                      <a:avLst/>
                    </a:prstGeom>
                    <a:noFill/>
                    <a:ln>
                      <a:noFill/>
                    </a:ln>
                  </pic:spPr>
                </pic:pic>
              </a:graphicData>
            </a:graphic>
          </wp:inline>
        </w:drawing>
      </w:r>
    </w:p>
    <w:p w14:paraId="665B2839" w14:textId="77777777" w:rsidR="004241AC" w:rsidRDefault="004241AC" w:rsidP="004241AC">
      <w:pPr>
        <w:spacing w:after="0" w:line="240" w:lineRule="auto"/>
        <w:jc w:val="center"/>
        <w:rPr>
          <w:b/>
        </w:rPr>
      </w:pPr>
    </w:p>
    <w:bookmarkStart w:id="0" w:name="Text15"/>
    <w:p w14:paraId="665B283A" w14:textId="77777777" w:rsidR="00823F4C" w:rsidRDefault="008F117D" w:rsidP="00823F4C">
      <w:pPr>
        <w:spacing w:after="0" w:line="240" w:lineRule="auto"/>
        <w:jc w:val="center"/>
        <w:rPr>
          <w:b/>
          <w:sz w:val="28"/>
        </w:rPr>
      </w:pPr>
      <w:r>
        <w:rPr>
          <w:rFonts w:eastAsia="Calibri" w:cs="Calibri"/>
          <w:noProof/>
          <w:color w:val="000000"/>
          <w:lang w:eastAsia="it-IT"/>
        </w:rPr>
        <mc:AlternateContent>
          <mc:Choice Requires="wps">
            <w:drawing>
              <wp:anchor distT="0" distB="0" distL="114300" distR="114300" simplePos="0" relativeHeight="251658240" behindDoc="0" locked="0" layoutInCell="1" allowOverlap="1" wp14:anchorId="665B2A7E" wp14:editId="665B2A7F">
                <wp:simplePos x="0" y="0"/>
                <wp:positionH relativeFrom="column">
                  <wp:posOffset>-458470</wp:posOffset>
                </wp:positionH>
                <wp:positionV relativeFrom="paragraph">
                  <wp:posOffset>256540</wp:posOffset>
                </wp:positionV>
                <wp:extent cx="342900" cy="7121525"/>
                <wp:effectExtent l="0" t="0" r="0" b="3175"/>
                <wp:wrapNone/>
                <wp:docPr id="3" name="Casella di testo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2900" cy="712152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5B2A89" w14:textId="77777777" w:rsidR="00F9785A" w:rsidRPr="00DB4923" w:rsidRDefault="00F9785A" w:rsidP="008F117D">
                            <w:pPr>
                              <w:ind w:left="708" w:firstLine="708"/>
                              <w:rPr>
                                <w:rFonts w:ascii="Calibri" w:hAnsi="Calibri" w:cs="Calibri"/>
                                <w:color w:val="A6A6A6"/>
                                <w:sz w:val="18"/>
                                <w:szCs w:val="18"/>
                              </w:rPr>
                            </w:pPr>
                            <w:proofErr w:type="spellStart"/>
                            <w:r w:rsidRPr="00DB4923">
                              <w:rPr>
                                <w:rFonts w:ascii="Calibri" w:hAnsi="Calibri" w:cs="Calibri"/>
                                <w:color w:val="A6A6A6"/>
                                <w:sz w:val="18"/>
                                <w:szCs w:val="18"/>
                              </w:rPr>
                              <w:t>Mod</w:t>
                            </w:r>
                            <w:proofErr w:type="spellEnd"/>
                            <w:r w:rsidRPr="00DB4923">
                              <w:rPr>
                                <w:rFonts w:ascii="Calibri" w:hAnsi="Calibri" w:cs="Calibri"/>
                                <w:color w:val="A6A6A6"/>
                                <w:sz w:val="18"/>
                                <w:szCs w:val="18"/>
                              </w:rPr>
                              <w:t>.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proofErr w:type="gramStart"/>
                            <w:r w:rsidRPr="00DB4923">
                              <w:rPr>
                                <w:rFonts w:ascii="Calibri" w:hAnsi="Calibri" w:cs="Calibri"/>
                                <w:color w:val="A6A6A6"/>
                                <w:sz w:val="18"/>
                                <w:szCs w:val="18"/>
                              </w:rPr>
                              <w:t>Data :</w:t>
                            </w:r>
                            <w:proofErr w:type="gramEnd"/>
                            <w:r w:rsidRPr="00DB4923">
                              <w:rPr>
                                <w:rFonts w:ascii="Calibri" w:hAnsi="Calibri" w:cs="Calibri"/>
                                <w:color w:val="A6A6A6"/>
                                <w:sz w:val="18"/>
                                <w:szCs w:val="18"/>
                              </w:rPr>
                              <w:t xml:space="preserve">  </w:t>
                            </w:r>
                            <w:r>
                              <w:rPr>
                                <w:rFonts w:ascii="Calibri" w:hAnsi="Calibri" w:cs="Calibri"/>
                                <w:color w:val="A6A6A6"/>
                                <w:sz w:val="18"/>
                                <w:szCs w:val="18"/>
                              </w:rPr>
                              <w:t>16/01/2023</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65B2A7E" id="_x0000_t202" coordsize="21600,21600" o:spt="202" path="m,l,21600r21600,l21600,xe">
                <v:stroke joinstyle="miter"/>
                <v:path gradientshapeok="t" o:connecttype="rect"/>
              </v:shapetype>
              <v:shape id="Casella di testo 3" o:spid="_x0000_s1026" type="#_x0000_t202" style="position:absolute;left:0;text-align:left;margin-left:-36.1pt;margin-top:20.2pt;width:27pt;height:56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" stroked="f">
                <v:textbox style="layout-flow:vertical;mso-layout-flow-alt:bottom-to-top">
                  <w:txbxContent>
                    <w:p w14:paraId="665B2A89" w14:textId="77777777" w:rsidR="00F9785A" w:rsidRPr="00DB4923" w:rsidRDefault="00F9785A" w:rsidP="008F117D">
                      <w:pPr>
                        <w:ind w:left="708" w:firstLine="708"/>
                        <w:rPr>
                          <w:rFonts w:ascii="Calibri" w:hAnsi="Calibri" w:cs="Calibri"/>
                          <w:color w:val="A6A6A6"/>
                          <w:sz w:val="18"/>
                          <w:szCs w:val="18"/>
                        </w:rPr>
                      </w:pPr>
                      <w:r w:rsidRPr="00DB4923">
                        <w:rPr>
                          <w:rFonts w:ascii="Calibri" w:hAnsi="Calibri" w:cs="Calibri"/>
                          <w:color w:val="A6A6A6"/>
                          <w:sz w:val="18"/>
                          <w:szCs w:val="18"/>
                        </w:rPr>
                        <w:t>Mod. 31</w:t>
                      </w:r>
                      <w:r>
                        <w:rPr>
                          <w:rFonts w:ascii="Calibri" w:hAnsi="Calibri" w:cs="Calibri"/>
                          <w:color w:val="A6A6A6"/>
                          <w:sz w:val="18"/>
                          <w:szCs w:val="18"/>
                        </w:rPr>
                        <w:t>6/13</w:t>
                      </w:r>
                      <w:r>
                        <w:rPr>
                          <w:rFonts w:ascii="Calibri" w:hAnsi="Calibri" w:cs="Calibri"/>
                          <w:color w:val="A6A6A6"/>
                          <w:sz w:val="18"/>
                          <w:szCs w:val="18"/>
                        </w:rPr>
                        <w:tab/>
                      </w:r>
                      <w:r w:rsidRPr="008F117D">
                        <w:rPr>
                          <w:rFonts w:ascii="Calibri" w:hAnsi="Calibri" w:cs="Calibri"/>
                          <w:color w:val="A6A6A6"/>
                          <w:sz w:val="18"/>
                          <w:szCs w:val="18"/>
                        </w:rPr>
                        <w:t>Relazione Pubblica di Valutazione</w:t>
                      </w:r>
                      <w:r>
                        <w:rPr>
                          <w:rFonts w:ascii="Calibri" w:hAnsi="Calibri" w:cs="Calibri"/>
                          <w:color w:val="A6A6A6"/>
                          <w:sz w:val="18"/>
                          <w:szCs w:val="18"/>
                        </w:rPr>
                        <w:t xml:space="preserve">        </w:t>
                      </w:r>
                      <w:r>
                        <w:rPr>
                          <w:rFonts w:ascii="Calibri" w:hAnsi="Calibri" w:cs="Calibri"/>
                          <w:color w:val="A6A6A6"/>
                          <w:sz w:val="18"/>
                          <w:szCs w:val="18"/>
                        </w:rPr>
                        <w:tab/>
                        <w:t xml:space="preserve">    Rev. 4</w:t>
                      </w:r>
                      <w:r>
                        <w:rPr>
                          <w:rFonts w:ascii="Calibri" w:hAnsi="Calibri" w:cs="Calibri"/>
                          <w:color w:val="A6A6A6"/>
                          <w:sz w:val="18"/>
                          <w:szCs w:val="18"/>
                        </w:rPr>
                        <w:tab/>
                      </w:r>
                      <w:r>
                        <w:rPr>
                          <w:rFonts w:ascii="Calibri" w:hAnsi="Calibri" w:cs="Calibri"/>
                          <w:color w:val="A6A6A6"/>
                          <w:sz w:val="18"/>
                          <w:szCs w:val="18"/>
                        </w:rPr>
                        <w:tab/>
                        <w:t xml:space="preserve">     </w:t>
                      </w:r>
                      <w:r w:rsidRPr="00DB4923">
                        <w:rPr>
                          <w:rFonts w:ascii="Calibri" w:hAnsi="Calibri" w:cs="Calibri"/>
                          <w:color w:val="A6A6A6"/>
                          <w:sz w:val="18"/>
                          <w:szCs w:val="18"/>
                        </w:rPr>
                        <w:t xml:space="preserve">Data :  </w:t>
                      </w:r>
                      <w:r>
                        <w:rPr>
                          <w:rFonts w:ascii="Calibri" w:hAnsi="Calibri" w:cs="Calibri"/>
                          <w:color w:val="A6A6A6"/>
                          <w:sz w:val="18"/>
                          <w:szCs w:val="18"/>
                        </w:rPr>
                        <w:t>16/01/2023</w:t>
                      </w:r>
                    </w:p>
                  </w:txbxContent>
                </v:textbox>
              </v:shape>
            </w:pict>
          </mc:Fallback>
        </mc:AlternateContent>
      </w:r>
      <w:r w:rsidR="00823F4C">
        <w:rPr>
          <w:b/>
          <w:sz w:val="28"/>
        </w:rPr>
        <w:t>Relazione Pubblica di Valutazione</w:t>
      </w:r>
    </w:p>
    <w:p w14:paraId="665B283B" w14:textId="77777777" w:rsidR="004241AC" w:rsidRDefault="004241AC" w:rsidP="004241AC">
      <w:pPr>
        <w:autoSpaceDE w:val="0"/>
        <w:autoSpaceDN w:val="0"/>
        <w:adjustRightInd w:val="0"/>
        <w:spacing w:after="0" w:line="240" w:lineRule="auto"/>
        <w:jc w:val="center"/>
        <w:rPr>
          <w:b/>
          <w:highlight w:val="yellow"/>
        </w:rPr>
      </w:pPr>
    </w:p>
    <w:p w14:paraId="665B283C" w14:textId="77777777" w:rsidR="00823F4C" w:rsidRDefault="00823F4C" w:rsidP="004241AC">
      <w:pPr>
        <w:autoSpaceDE w:val="0"/>
        <w:autoSpaceDN w:val="0"/>
        <w:adjustRightInd w:val="0"/>
        <w:spacing w:after="0" w:line="240" w:lineRule="auto"/>
        <w:jc w:val="center"/>
        <w:rPr>
          <w:b/>
          <w:highlight w:val="yellow"/>
        </w:rPr>
      </w:pPr>
    </w:p>
    <w:p w14:paraId="665B283D" w14:textId="77777777" w:rsidR="004609F8" w:rsidRDefault="004609F8" w:rsidP="004241AC">
      <w:pPr>
        <w:autoSpaceDE w:val="0"/>
        <w:autoSpaceDN w:val="0"/>
        <w:adjustRightInd w:val="0"/>
        <w:spacing w:after="0" w:line="240" w:lineRule="auto"/>
        <w:jc w:val="center"/>
        <w:rPr>
          <w:b/>
          <w:highlight w:val="yellow"/>
        </w:rPr>
      </w:pPr>
    </w:p>
    <w:p w14:paraId="665B283E" w14:textId="592CAB94" w:rsidR="00BF7A42" w:rsidRDefault="009D775A" w:rsidP="004241AC">
      <w:pPr>
        <w:widowControl w:val="0"/>
        <w:spacing w:after="0" w:line="240" w:lineRule="auto"/>
        <w:jc w:val="center"/>
        <w:rPr>
          <w:b/>
          <w:sz w:val="32"/>
        </w:rPr>
      </w:pPr>
      <w:r>
        <w:rPr>
          <w:b/>
          <w:sz w:val="32"/>
        </w:rPr>
        <w:t>VAPREDIS</w:t>
      </w:r>
    </w:p>
    <w:p w14:paraId="665B283F" w14:textId="77777777" w:rsidR="004609F8" w:rsidRDefault="004609F8" w:rsidP="004241AC">
      <w:pPr>
        <w:widowControl w:val="0"/>
        <w:spacing w:after="0" w:line="240" w:lineRule="auto"/>
        <w:jc w:val="center"/>
        <w:rPr>
          <w:snapToGrid w:val="0"/>
        </w:rPr>
      </w:pPr>
    </w:p>
    <w:p w14:paraId="665B2840" w14:textId="77777777" w:rsidR="004241AC" w:rsidRPr="00A966D1" w:rsidRDefault="004241AC" w:rsidP="004241AC">
      <w:pPr>
        <w:widowControl w:val="0"/>
        <w:spacing w:after="0" w:line="240" w:lineRule="auto"/>
        <w:jc w:val="center"/>
        <w:rPr>
          <w:snapToGrid w:val="0"/>
        </w:rPr>
      </w:pPr>
      <w:r w:rsidRPr="00A966D1">
        <w:rPr>
          <w:snapToGrid w:val="0"/>
        </w:rPr>
        <w:t>(</w:t>
      </w:r>
      <w:r w:rsidR="005D476D">
        <w:rPr>
          <w:snapToGrid w:val="0"/>
        </w:rPr>
        <w:t>Prednisone</w:t>
      </w:r>
      <w:r w:rsidR="002A1800">
        <w:rPr>
          <w:snapToGrid w:val="0"/>
        </w:rPr>
        <w:t xml:space="preserve">, </w:t>
      </w:r>
      <w:r w:rsidR="005D476D">
        <w:rPr>
          <w:snapToGrid w:val="0"/>
        </w:rPr>
        <w:t>compresse, 5 mg, 20 mg e 25 mg</w:t>
      </w:r>
      <w:r w:rsidRPr="00A966D1">
        <w:rPr>
          <w:snapToGrid w:val="0"/>
        </w:rPr>
        <w:t>)</w:t>
      </w:r>
    </w:p>
    <w:p w14:paraId="665B2841" w14:textId="77777777" w:rsidR="004241AC" w:rsidRDefault="004241AC" w:rsidP="004241AC">
      <w:pPr>
        <w:autoSpaceDE w:val="0"/>
        <w:autoSpaceDN w:val="0"/>
        <w:adjustRightInd w:val="0"/>
        <w:spacing w:after="0" w:line="240" w:lineRule="auto"/>
        <w:jc w:val="center"/>
        <w:rPr>
          <w:b/>
        </w:rPr>
      </w:pPr>
    </w:p>
    <w:p w14:paraId="665B2842" w14:textId="77777777" w:rsidR="004609F8" w:rsidRPr="00A966D1" w:rsidRDefault="004609F8" w:rsidP="004241AC">
      <w:pPr>
        <w:autoSpaceDE w:val="0"/>
        <w:autoSpaceDN w:val="0"/>
        <w:adjustRightInd w:val="0"/>
        <w:spacing w:after="0" w:line="240" w:lineRule="auto"/>
        <w:jc w:val="center"/>
        <w:rPr>
          <w:b/>
        </w:rPr>
      </w:pPr>
    </w:p>
    <w:p w14:paraId="665B2843" w14:textId="77777777" w:rsidR="00797416" w:rsidRDefault="00FE31AA" w:rsidP="004241AC">
      <w:pPr>
        <w:spacing w:after="0" w:line="240" w:lineRule="auto"/>
        <w:jc w:val="center"/>
        <w:rPr>
          <w:b/>
        </w:rPr>
      </w:pPr>
      <w:proofErr w:type="spellStart"/>
      <w:r w:rsidRPr="00FE31AA">
        <w:rPr>
          <w:b/>
        </w:rPr>
        <w:t>Genetic</w:t>
      </w:r>
      <w:proofErr w:type="spellEnd"/>
      <w:r w:rsidRPr="00FE31AA">
        <w:rPr>
          <w:b/>
        </w:rPr>
        <w:t xml:space="preserve"> S.p.A.</w:t>
      </w:r>
    </w:p>
    <w:p w14:paraId="665B2844" w14:textId="77777777" w:rsidR="00EC3589" w:rsidRDefault="00EC3589" w:rsidP="004241AC">
      <w:pPr>
        <w:spacing w:after="0" w:line="240" w:lineRule="auto"/>
        <w:jc w:val="center"/>
        <w:rPr>
          <w:b/>
        </w:rPr>
      </w:pPr>
    </w:p>
    <w:p w14:paraId="665B2845" w14:textId="77777777" w:rsidR="004609F8" w:rsidRDefault="004609F8" w:rsidP="004241AC">
      <w:pPr>
        <w:spacing w:after="0" w:line="240" w:lineRule="auto"/>
        <w:jc w:val="center"/>
        <w:rPr>
          <w:b/>
        </w:rPr>
      </w:pPr>
    </w:p>
    <w:p w14:paraId="665B2846" w14:textId="4A21DFA6" w:rsidR="004241AC" w:rsidRDefault="004241AC" w:rsidP="004241AC">
      <w:pPr>
        <w:spacing w:after="0" w:line="240" w:lineRule="auto"/>
        <w:jc w:val="center"/>
        <w:rPr>
          <w:rFonts w:cs="Helvetica"/>
          <w:b/>
        </w:rPr>
      </w:pPr>
      <w:r w:rsidRPr="00062636">
        <w:rPr>
          <w:b/>
        </w:rPr>
        <w:t xml:space="preserve">Numero di AIC: </w:t>
      </w:r>
      <w:r w:rsidR="009D775A">
        <w:rPr>
          <w:rFonts w:cs="Helvetica"/>
          <w:b/>
        </w:rPr>
        <w:t>049525</w:t>
      </w:r>
    </w:p>
    <w:p w14:paraId="665B2847" w14:textId="77777777" w:rsidR="00797416" w:rsidRPr="00062636" w:rsidRDefault="00797416" w:rsidP="004241AC">
      <w:pPr>
        <w:spacing w:after="0" w:line="240" w:lineRule="auto"/>
        <w:jc w:val="center"/>
        <w:rPr>
          <w:b/>
        </w:rPr>
      </w:pPr>
    </w:p>
    <w:bookmarkEnd w:id="0"/>
    <w:p w14:paraId="665B2848" w14:textId="77777777" w:rsidR="004241AC" w:rsidRDefault="004241AC" w:rsidP="004241AC">
      <w:pPr>
        <w:spacing w:after="0" w:line="240" w:lineRule="auto"/>
        <w:jc w:val="center"/>
        <w:rPr>
          <w:b/>
        </w:rPr>
      </w:pPr>
    </w:p>
    <w:p w14:paraId="665B2849" w14:textId="77777777" w:rsidR="004E5A39" w:rsidRPr="00062636" w:rsidRDefault="004E5A39" w:rsidP="004241AC">
      <w:pPr>
        <w:spacing w:after="0" w:line="240" w:lineRule="auto"/>
        <w:jc w:val="center"/>
        <w:rPr>
          <w:b/>
        </w:rPr>
      </w:pPr>
    </w:p>
    <w:p w14:paraId="665B284A" w14:textId="77777777" w:rsidR="004E5A39" w:rsidRPr="0033523E" w:rsidRDefault="004E5A39" w:rsidP="004E5A39">
      <w:pPr>
        <w:autoSpaceDE w:val="0"/>
        <w:autoSpaceDN w:val="0"/>
        <w:adjustRightInd w:val="0"/>
        <w:spacing w:after="0" w:line="240" w:lineRule="auto"/>
        <w:jc w:val="center"/>
        <w:rPr>
          <w:rFonts w:eastAsia="Calibri" w:cs="Calibri"/>
          <w:b/>
          <w:color w:val="000000"/>
          <w:lang w:eastAsia="it-IT"/>
        </w:rPr>
      </w:pPr>
      <w:r w:rsidRPr="0033523E">
        <w:rPr>
          <w:rFonts w:eastAsia="Calibri" w:cs="Calibri"/>
          <w:b/>
          <w:color w:val="000000"/>
          <w:lang w:eastAsia="it-IT"/>
        </w:rPr>
        <w:t>RIASSUNTO DELLA RELAZIONE PUBBLICA DI VALUTAZIONE</w:t>
      </w:r>
    </w:p>
    <w:p w14:paraId="665B284B" w14:textId="77777777" w:rsidR="004E5A39" w:rsidRDefault="004E5A39" w:rsidP="004241AC">
      <w:pPr>
        <w:autoSpaceDE w:val="0"/>
        <w:autoSpaceDN w:val="0"/>
        <w:adjustRightInd w:val="0"/>
        <w:spacing w:after="0" w:line="240" w:lineRule="auto"/>
        <w:jc w:val="both"/>
        <w:rPr>
          <w:rFonts w:eastAsia="Calibri" w:cs="Calibri"/>
          <w:color w:val="000000"/>
          <w:lang w:eastAsia="it-IT"/>
        </w:rPr>
      </w:pPr>
    </w:p>
    <w:p w14:paraId="665B284C" w14:textId="0BFE34E4" w:rsidR="00BB2AF8" w:rsidRPr="00D108AA" w:rsidRDefault="00BB2AF8" w:rsidP="00BB2AF8">
      <w:pPr>
        <w:autoSpaceDE w:val="0"/>
        <w:autoSpaceDN w:val="0"/>
        <w:adjustRightInd w:val="0"/>
        <w:spacing w:after="0" w:line="240" w:lineRule="auto"/>
        <w:jc w:val="both"/>
        <w:rPr>
          <w:rFonts w:eastAsia="Calibri" w:cs="Calibri"/>
          <w:bCs/>
          <w:color w:val="000000"/>
          <w:lang w:eastAsia="it-IT"/>
        </w:rPr>
      </w:pPr>
      <w:r w:rsidRPr="009F1B70">
        <w:rPr>
          <w:rFonts w:eastAsia="Calibri" w:cs="Calibri"/>
          <w:color w:val="000000"/>
          <w:lang w:eastAsia="it-IT"/>
        </w:rPr>
        <w:t xml:space="preserve">Questa è la sintesi del </w:t>
      </w:r>
      <w:r w:rsidRPr="009B03DB">
        <w:rPr>
          <w:rFonts w:eastAsia="Calibri" w:cs="Calibri"/>
          <w:i/>
          <w:color w:val="000000"/>
          <w:lang w:eastAsia="it-IT"/>
        </w:rPr>
        <w:t xml:space="preserve">Public </w:t>
      </w:r>
      <w:proofErr w:type="spellStart"/>
      <w:r w:rsidRPr="009B03DB">
        <w:rPr>
          <w:rFonts w:eastAsia="Calibri" w:cs="Calibri"/>
          <w:i/>
          <w:color w:val="000000"/>
          <w:lang w:eastAsia="it-IT"/>
        </w:rPr>
        <w:t>Assessment</w:t>
      </w:r>
      <w:proofErr w:type="spellEnd"/>
      <w:r w:rsidRPr="009B03DB">
        <w:rPr>
          <w:rFonts w:eastAsia="Calibri" w:cs="Calibri"/>
          <w:i/>
          <w:color w:val="000000"/>
          <w:lang w:eastAsia="it-IT"/>
        </w:rPr>
        <w:t xml:space="preserve"> Report</w:t>
      </w:r>
      <w:r w:rsidRPr="009F1B70">
        <w:rPr>
          <w:rFonts w:eastAsia="Calibri" w:cs="Calibri"/>
          <w:color w:val="000000"/>
          <w:lang w:eastAsia="it-IT"/>
        </w:rPr>
        <w:t xml:space="preserve"> (PAR) per </w:t>
      </w:r>
      <w:r w:rsidR="009D775A">
        <w:rPr>
          <w:rFonts w:eastAsia="Calibri" w:cs="Calibri"/>
          <w:color w:val="000000"/>
          <w:lang w:eastAsia="it-IT"/>
        </w:rPr>
        <w:t>VAPREDIS</w:t>
      </w:r>
      <w:r w:rsidRPr="009F1B70">
        <w:rPr>
          <w:rFonts w:eastAsia="Calibri" w:cs="Calibri"/>
          <w:color w:val="000000"/>
          <w:lang w:eastAsia="it-IT"/>
        </w:rPr>
        <w:t>.</w:t>
      </w:r>
      <w:r w:rsidRPr="009F1B70">
        <w:rPr>
          <w:rFonts w:eastAsia="Calibri" w:cs="Calibri"/>
          <w:bCs/>
          <w:color w:val="000000"/>
          <w:lang w:eastAsia="it-IT"/>
        </w:rPr>
        <w:t xml:space="preserve"> </w:t>
      </w:r>
      <w:r w:rsidRPr="009F1B70">
        <w:rPr>
          <w:rFonts w:eastAsia="Calibri" w:cs="Calibri"/>
          <w:color w:val="000000"/>
          <w:lang w:eastAsia="it-IT"/>
        </w:rPr>
        <w:t xml:space="preserve">Esso spiega come </w:t>
      </w:r>
      <w:r w:rsidR="009D775A">
        <w:rPr>
          <w:rFonts w:eastAsia="Calibri" w:cs="Calibri"/>
          <w:color w:val="000000"/>
          <w:lang w:eastAsia="it-IT"/>
        </w:rPr>
        <w:t>VAPREDIS</w:t>
      </w:r>
      <w:r w:rsidRPr="009F1B70">
        <w:rPr>
          <w:rFonts w:eastAsia="Calibri" w:cs="Calibri"/>
          <w:color w:val="000000"/>
          <w:lang w:eastAsia="it-IT"/>
        </w:rPr>
        <w:t xml:space="preserve"> è stato valutato </w:t>
      </w:r>
      <w:r w:rsidR="000C1389">
        <w:rPr>
          <w:rFonts w:eastAsia="Calibri" w:cs="Calibri"/>
          <w:color w:val="000000"/>
          <w:lang w:eastAsia="it-IT"/>
        </w:rPr>
        <w:t>dall’AIFA</w:t>
      </w:r>
      <w:r w:rsidRPr="009F1B70">
        <w:rPr>
          <w:rFonts w:eastAsia="Calibri" w:cs="Calibri"/>
          <w:color w:val="000000"/>
          <w:lang w:eastAsia="it-IT"/>
        </w:rPr>
        <w:t xml:space="preserve"> </w:t>
      </w:r>
      <w:r>
        <w:rPr>
          <w:rFonts w:eastAsia="Calibri" w:cs="Calibri"/>
          <w:color w:val="000000"/>
          <w:lang w:eastAsia="it-IT"/>
        </w:rPr>
        <w:t xml:space="preserve">e le sue </w:t>
      </w:r>
      <w:r w:rsidRPr="00D108AA">
        <w:rPr>
          <w:rFonts w:eastAsia="Calibri" w:cs="Calibri"/>
          <w:color w:val="000000"/>
          <w:lang w:eastAsia="it-IT"/>
        </w:rPr>
        <w:t xml:space="preserve">condizioni di impiego. Non intende fornire consigli pratici su come utilizzare </w:t>
      </w:r>
      <w:r w:rsidR="009D775A">
        <w:rPr>
          <w:rFonts w:eastAsia="Calibri" w:cs="Calibri"/>
          <w:color w:val="000000"/>
          <w:lang w:eastAsia="it-IT"/>
        </w:rPr>
        <w:t>VAPREDIS</w:t>
      </w:r>
      <w:r w:rsidRPr="00D108AA">
        <w:rPr>
          <w:rFonts w:eastAsia="Calibri" w:cs="Calibri"/>
          <w:bCs/>
          <w:color w:val="000000"/>
          <w:lang w:eastAsia="it-IT"/>
        </w:rPr>
        <w:t>.</w:t>
      </w:r>
    </w:p>
    <w:p w14:paraId="665B284D" w14:textId="53B4B482" w:rsidR="00BB2AF8" w:rsidRPr="00D108AA" w:rsidRDefault="00BB2AF8" w:rsidP="00BB2AF8">
      <w:pPr>
        <w:autoSpaceDE w:val="0"/>
        <w:autoSpaceDN w:val="0"/>
        <w:adjustRightInd w:val="0"/>
        <w:spacing w:after="0" w:line="240" w:lineRule="auto"/>
        <w:jc w:val="both"/>
        <w:rPr>
          <w:rFonts w:eastAsia="Calibri" w:cs="Calibri"/>
          <w:color w:val="000000"/>
          <w:lang w:eastAsia="it-IT"/>
        </w:rPr>
      </w:pPr>
      <w:r w:rsidRPr="00D108AA">
        <w:rPr>
          <w:rFonts w:eastAsia="Calibri" w:cs="Calibri"/>
          <w:color w:val="000000"/>
          <w:lang w:eastAsia="it-IT"/>
        </w:rPr>
        <w:t>Per informazioni pratiche sull'utilizzo di</w:t>
      </w:r>
      <w:r w:rsidRPr="00D108AA">
        <w:rPr>
          <w:rFonts w:eastAsia="Calibri" w:cs="Calibri"/>
          <w:bCs/>
          <w:color w:val="000000"/>
          <w:lang w:eastAsia="it-IT"/>
        </w:rPr>
        <w:t xml:space="preserve"> </w:t>
      </w:r>
      <w:r w:rsidR="009D775A">
        <w:rPr>
          <w:rFonts w:eastAsia="Calibri" w:cs="Calibri"/>
          <w:color w:val="000000"/>
          <w:lang w:eastAsia="it-IT"/>
        </w:rPr>
        <w:t>VAPREDIS</w:t>
      </w:r>
      <w:r w:rsidR="002A1E23" w:rsidRPr="00D108AA">
        <w:rPr>
          <w:rFonts w:eastAsia="Calibri" w:cs="Calibri"/>
          <w:color w:val="000000"/>
          <w:lang w:eastAsia="it-IT"/>
        </w:rPr>
        <w:t xml:space="preserve"> </w:t>
      </w:r>
      <w:r w:rsidRPr="00D108AA">
        <w:rPr>
          <w:rFonts w:eastAsia="Calibri" w:cs="Calibri"/>
          <w:color w:val="000000"/>
          <w:lang w:eastAsia="it-IT"/>
        </w:rPr>
        <w:t xml:space="preserve">i pazienti devono consultare il foglio illustrativo o contattare il loro medico o il farmacista. </w:t>
      </w:r>
    </w:p>
    <w:p w14:paraId="665B284E" w14:textId="77777777" w:rsidR="00BB2AF8" w:rsidRPr="00D108AA" w:rsidRDefault="00BB2AF8" w:rsidP="00BB2AF8">
      <w:pPr>
        <w:autoSpaceDE w:val="0"/>
        <w:autoSpaceDN w:val="0"/>
        <w:adjustRightInd w:val="0"/>
        <w:spacing w:after="0" w:line="240" w:lineRule="auto"/>
        <w:jc w:val="both"/>
        <w:rPr>
          <w:rFonts w:eastAsia="Calibri" w:cs="Calibri"/>
          <w:color w:val="000000"/>
          <w:lang w:eastAsia="it-IT"/>
        </w:rPr>
      </w:pPr>
    </w:p>
    <w:p w14:paraId="665B284F" w14:textId="77777777" w:rsidR="00BB2AF8" w:rsidRPr="00D108AA" w:rsidRDefault="00BB2AF8" w:rsidP="00BB2AF8">
      <w:pPr>
        <w:autoSpaceDE w:val="0"/>
        <w:autoSpaceDN w:val="0"/>
        <w:adjustRightInd w:val="0"/>
        <w:spacing w:after="0" w:line="240" w:lineRule="auto"/>
        <w:jc w:val="both"/>
        <w:rPr>
          <w:rFonts w:eastAsia="Calibri" w:cs="Calibri"/>
          <w:color w:val="000000"/>
          <w:lang w:eastAsia="it-IT"/>
        </w:rPr>
      </w:pPr>
    </w:p>
    <w:p w14:paraId="665B2850" w14:textId="2ECD22E3" w:rsidR="00BB2AF8" w:rsidRPr="00D108AA" w:rsidRDefault="00BB2AF8" w:rsidP="00BB2AF8">
      <w:pPr>
        <w:autoSpaceDE w:val="0"/>
        <w:autoSpaceDN w:val="0"/>
        <w:adjustRightInd w:val="0"/>
        <w:spacing w:after="0" w:line="240" w:lineRule="auto"/>
        <w:jc w:val="both"/>
        <w:rPr>
          <w:rFonts w:eastAsia="Calibri" w:cs="Calibri"/>
          <w:b/>
          <w:color w:val="000000"/>
          <w:lang w:eastAsia="it-IT"/>
        </w:rPr>
      </w:pPr>
      <w:r w:rsidRPr="00D108AA">
        <w:rPr>
          <w:rFonts w:eastAsia="Calibri" w:cs="Calibri"/>
          <w:b/>
          <w:bCs/>
          <w:color w:val="000000"/>
          <w:lang w:eastAsia="it-IT"/>
        </w:rPr>
        <w:t xml:space="preserve">1) CHE COS’È </w:t>
      </w:r>
      <w:r w:rsidR="009D775A">
        <w:rPr>
          <w:rFonts w:eastAsia="Calibri" w:cs="Calibri"/>
          <w:b/>
          <w:color w:val="000000"/>
          <w:lang w:eastAsia="it-IT"/>
        </w:rPr>
        <w:t>VAPREDIS</w:t>
      </w:r>
      <w:r w:rsidR="00797416" w:rsidRPr="00D108AA">
        <w:rPr>
          <w:rFonts w:eastAsia="Calibri" w:cs="Calibri"/>
          <w:b/>
          <w:color w:val="000000"/>
          <w:lang w:eastAsia="it-IT"/>
        </w:rPr>
        <w:t xml:space="preserve"> </w:t>
      </w:r>
      <w:r w:rsidRPr="00D108AA">
        <w:rPr>
          <w:rFonts w:eastAsia="Calibri" w:cs="Calibri"/>
          <w:b/>
          <w:bCs/>
          <w:color w:val="000000"/>
          <w:lang w:eastAsia="it-IT"/>
        </w:rPr>
        <w:t xml:space="preserve">E A COSA SERVE? </w:t>
      </w:r>
    </w:p>
    <w:p w14:paraId="665B2851" w14:textId="7B4347C9" w:rsidR="00797416" w:rsidRPr="00D108AA" w:rsidRDefault="009D775A" w:rsidP="00BB2AF8">
      <w:pPr>
        <w:widowControl w:val="0"/>
        <w:spacing w:after="0" w:line="240" w:lineRule="auto"/>
        <w:jc w:val="both"/>
        <w:rPr>
          <w:rFonts w:eastAsia="Calibri" w:cs="Calibri"/>
          <w:color w:val="000000"/>
          <w:lang w:eastAsia="it-IT"/>
        </w:rPr>
      </w:pPr>
      <w:r>
        <w:rPr>
          <w:rFonts w:eastAsia="Calibri" w:cs="Calibri"/>
          <w:color w:val="000000"/>
          <w:lang w:eastAsia="it-IT"/>
        </w:rPr>
        <w:t>VAPREDIS</w:t>
      </w:r>
      <w:r w:rsidR="00797416" w:rsidRPr="00D108AA">
        <w:rPr>
          <w:rFonts w:eastAsia="Calibri" w:cs="Calibri"/>
          <w:color w:val="000000"/>
          <w:lang w:eastAsia="it-IT"/>
        </w:rPr>
        <w:t xml:space="preserve"> </w:t>
      </w:r>
      <w:r w:rsidR="00BB2AF8" w:rsidRPr="00D108AA">
        <w:rPr>
          <w:rFonts w:eastAsia="Calibri" w:cs="Calibri"/>
          <w:color w:val="000000"/>
          <w:lang w:eastAsia="it-IT"/>
        </w:rPr>
        <w:t>è un medicinale contenente il principio attivo</w:t>
      </w:r>
      <w:r w:rsidR="00F9785A" w:rsidRPr="00D108AA">
        <w:rPr>
          <w:rFonts w:eastAsia="Calibri" w:cs="Calibri"/>
          <w:color w:val="000000"/>
          <w:lang w:eastAsia="it-IT"/>
        </w:rPr>
        <w:t xml:space="preserve"> p</w:t>
      </w:r>
      <w:r w:rsidR="00B40718" w:rsidRPr="00D108AA">
        <w:rPr>
          <w:rFonts w:eastAsia="Calibri" w:cs="Calibri"/>
          <w:color w:val="000000"/>
          <w:lang w:eastAsia="it-IT"/>
        </w:rPr>
        <w:t xml:space="preserve">rednisone </w:t>
      </w:r>
      <w:r w:rsidR="00BB2AF8" w:rsidRPr="00D108AA">
        <w:rPr>
          <w:rFonts w:eastAsia="Calibri" w:cs="Calibri"/>
          <w:color w:val="000000"/>
          <w:lang w:eastAsia="it-IT"/>
        </w:rPr>
        <w:t xml:space="preserve">ed </w:t>
      </w:r>
      <w:r w:rsidR="00797416" w:rsidRPr="00D108AA">
        <w:rPr>
          <w:rFonts w:eastAsia="Calibri" w:cs="Calibri"/>
          <w:color w:val="000000"/>
          <w:lang w:eastAsia="it-IT"/>
        </w:rPr>
        <w:t>è disponibile come:</w:t>
      </w:r>
    </w:p>
    <w:p w14:paraId="665B2852" w14:textId="2F48894E" w:rsidR="00797416" w:rsidRPr="00D108AA" w:rsidRDefault="00797416" w:rsidP="00BB2AF8">
      <w:pPr>
        <w:widowControl w:val="0"/>
        <w:spacing w:after="0" w:line="240" w:lineRule="auto"/>
        <w:jc w:val="both"/>
        <w:rPr>
          <w:rFonts w:eastAsia="Calibri" w:cs="Calibri"/>
          <w:color w:val="000000"/>
          <w:lang w:eastAsia="it-IT"/>
        </w:rPr>
      </w:pPr>
      <w:r w:rsidRPr="00D108AA">
        <w:rPr>
          <w:rFonts w:eastAsia="Calibri" w:cs="Calibri"/>
          <w:color w:val="000000"/>
          <w:lang w:eastAsia="it-IT"/>
        </w:rPr>
        <w:t>compresse</w:t>
      </w:r>
      <w:r w:rsidR="00BB2AF8" w:rsidRPr="00D108AA">
        <w:rPr>
          <w:rFonts w:eastAsia="Calibri" w:cs="Calibri"/>
          <w:color w:val="000000"/>
          <w:lang w:eastAsia="it-IT"/>
        </w:rPr>
        <w:t xml:space="preserve"> contenent</w:t>
      </w:r>
      <w:r w:rsidRPr="00D108AA">
        <w:rPr>
          <w:rFonts w:eastAsia="Calibri" w:cs="Calibri"/>
          <w:color w:val="000000"/>
          <w:lang w:eastAsia="it-IT"/>
        </w:rPr>
        <w:t>i</w:t>
      </w:r>
      <w:r w:rsidR="00BB2AF8" w:rsidRPr="00D108AA">
        <w:rPr>
          <w:rFonts w:eastAsia="Calibri" w:cs="Calibri"/>
          <w:color w:val="000000"/>
          <w:lang w:eastAsia="it-IT"/>
        </w:rPr>
        <w:t xml:space="preserve"> </w:t>
      </w:r>
      <w:r w:rsidR="00B40718" w:rsidRPr="00D108AA">
        <w:rPr>
          <w:rFonts w:eastAsia="Calibri" w:cs="Calibri"/>
          <w:color w:val="000000"/>
          <w:lang w:eastAsia="it-IT"/>
        </w:rPr>
        <w:t>5</w:t>
      </w:r>
      <w:r w:rsidRPr="00D108AA">
        <w:rPr>
          <w:rFonts w:eastAsia="Calibri" w:cs="Calibri"/>
          <w:color w:val="000000"/>
          <w:lang w:eastAsia="it-IT"/>
        </w:rPr>
        <w:t xml:space="preserve"> mg</w:t>
      </w:r>
      <w:r w:rsidR="00B40718" w:rsidRPr="00D108AA">
        <w:rPr>
          <w:rFonts w:eastAsia="Calibri" w:cs="Calibri"/>
          <w:color w:val="000000"/>
          <w:lang w:eastAsia="it-IT"/>
        </w:rPr>
        <w:t>, 20 mg e 25</w:t>
      </w:r>
      <w:r w:rsidRPr="00D108AA">
        <w:rPr>
          <w:rFonts w:eastAsia="Calibri" w:cs="Calibri"/>
          <w:color w:val="000000"/>
          <w:lang w:eastAsia="it-IT"/>
        </w:rPr>
        <w:t xml:space="preserve"> mg di</w:t>
      </w:r>
      <w:r w:rsidR="00BB2AF8" w:rsidRPr="00D108AA">
        <w:rPr>
          <w:rFonts w:eastAsia="Calibri" w:cs="Calibri"/>
          <w:color w:val="000000"/>
          <w:lang w:eastAsia="it-IT"/>
        </w:rPr>
        <w:t xml:space="preserve"> principio attivo</w:t>
      </w:r>
      <w:r w:rsidR="00315AD3">
        <w:rPr>
          <w:rFonts w:eastAsia="Calibri" w:cs="Calibri"/>
          <w:color w:val="000000"/>
          <w:lang w:eastAsia="it-IT"/>
        </w:rPr>
        <w:t>.</w:t>
      </w:r>
    </w:p>
    <w:p w14:paraId="665B2853" w14:textId="77777777" w:rsidR="00F9785A" w:rsidRPr="00D108AA" w:rsidRDefault="00F9785A" w:rsidP="00B03E01">
      <w:pPr>
        <w:widowControl w:val="0"/>
        <w:spacing w:after="0" w:line="240" w:lineRule="auto"/>
        <w:jc w:val="both"/>
        <w:rPr>
          <w:rFonts w:eastAsia="Calibri" w:cs="Calibri"/>
          <w:color w:val="000000"/>
          <w:lang w:eastAsia="it-IT"/>
        </w:rPr>
      </w:pPr>
    </w:p>
    <w:p w14:paraId="665B2854" w14:textId="128B423B" w:rsidR="00B03E01" w:rsidRDefault="009D775A" w:rsidP="00B03E01">
      <w:pPr>
        <w:widowControl w:val="0"/>
        <w:spacing w:after="0" w:line="240" w:lineRule="auto"/>
        <w:jc w:val="both"/>
        <w:rPr>
          <w:rFonts w:eastAsia="Calibri" w:cs="Calibri"/>
          <w:color w:val="000000"/>
          <w:lang w:eastAsia="it-IT"/>
        </w:rPr>
      </w:pPr>
      <w:r>
        <w:rPr>
          <w:rFonts w:eastAsia="Calibri" w:cs="Calibri"/>
          <w:color w:val="000000"/>
          <w:lang w:eastAsia="it-IT"/>
        </w:rPr>
        <w:t>VAPREDIS</w:t>
      </w:r>
      <w:r w:rsidR="00796BD0" w:rsidRPr="00D108AA">
        <w:rPr>
          <w:rFonts w:eastAsia="Calibri" w:cs="Calibri"/>
          <w:color w:val="000000"/>
          <w:lang w:eastAsia="it-IT"/>
        </w:rPr>
        <w:t>, nel dosaggio da 5 mg e 20 mg,</w:t>
      </w:r>
      <w:r w:rsidR="00797416" w:rsidRPr="00D108AA">
        <w:rPr>
          <w:rFonts w:eastAsia="Calibri" w:cs="Calibri"/>
          <w:color w:val="000000"/>
          <w:lang w:eastAsia="it-IT"/>
        </w:rPr>
        <w:t xml:space="preserve"> </w:t>
      </w:r>
      <w:r w:rsidR="00BB2AF8" w:rsidRPr="00D108AA">
        <w:rPr>
          <w:rFonts w:eastAsia="Calibri" w:cs="Calibri"/>
          <w:color w:val="000000"/>
          <w:lang w:eastAsia="it-IT"/>
        </w:rPr>
        <w:t xml:space="preserve">è un “medicinale generico”, cioè è analogo ad un “medicinale di riferimento”, </w:t>
      </w:r>
      <w:proofErr w:type="spellStart"/>
      <w:r w:rsidR="00FE31AA" w:rsidRPr="00D108AA">
        <w:rPr>
          <w:rFonts w:eastAsia="Calibri" w:cs="Calibri"/>
          <w:color w:val="000000"/>
          <w:lang w:eastAsia="it-IT"/>
        </w:rPr>
        <w:t>Decortin</w:t>
      </w:r>
      <w:proofErr w:type="spellEnd"/>
      <w:r w:rsidR="00797416" w:rsidRPr="00D108AA">
        <w:rPr>
          <w:rFonts w:eastAsia="Calibri" w:cs="Calibri"/>
          <w:color w:val="000000"/>
          <w:lang w:eastAsia="it-IT"/>
        </w:rPr>
        <w:t xml:space="preserve">, </w:t>
      </w:r>
      <w:r w:rsidR="00F67DFC" w:rsidRPr="00D108AA">
        <w:rPr>
          <w:rFonts w:eastAsia="Calibri" w:cs="Calibri"/>
          <w:color w:val="000000"/>
          <w:lang w:eastAsia="it-IT"/>
        </w:rPr>
        <w:t>autorizzato</w:t>
      </w:r>
      <w:r w:rsidR="00C058E1" w:rsidRPr="00D108AA">
        <w:rPr>
          <w:rFonts w:eastAsia="Calibri" w:cs="Calibri"/>
          <w:color w:val="000000"/>
          <w:lang w:eastAsia="it-IT"/>
        </w:rPr>
        <w:t xml:space="preserve"> </w:t>
      </w:r>
      <w:r w:rsidR="008C3877" w:rsidRPr="00D108AA">
        <w:rPr>
          <w:rFonts w:eastAsia="Calibri" w:cs="Calibri"/>
          <w:color w:val="000000"/>
          <w:lang w:eastAsia="it-IT"/>
        </w:rPr>
        <w:t>nell’Unione Europea</w:t>
      </w:r>
      <w:r w:rsidR="00F67DFC" w:rsidRPr="00D108AA">
        <w:rPr>
          <w:rFonts w:eastAsia="Calibri" w:cs="Calibri"/>
          <w:color w:val="000000"/>
          <w:lang w:eastAsia="it-IT"/>
        </w:rPr>
        <w:t xml:space="preserve"> </w:t>
      </w:r>
      <w:r w:rsidR="002A1E23" w:rsidRPr="00D108AA">
        <w:rPr>
          <w:rFonts w:eastAsia="Calibri" w:cs="Calibri"/>
          <w:color w:val="000000"/>
          <w:lang w:eastAsia="it-IT"/>
        </w:rPr>
        <w:t>(</w:t>
      </w:r>
      <w:r w:rsidR="009F0B8A" w:rsidRPr="00D108AA">
        <w:rPr>
          <w:rFonts w:eastAsia="Calibri" w:cs="Calibri"/>
          <w:color w:val="000000"/>
          <w:lang w:eastAsia="it-IT"/>
        </w:rPr>
        <w:t>G</w:t>
      </w:r>
      <w:r w:rsidR="002A1E23" w:rsidRPr="00D108AA">
        <w:rPr>
          <w:rFonts w:eastAsia="Calibri" w:cs="Calibri"/>
          <w:color w:val="000000"/>
          <w:lang w:eastAsia="it-IT"/>
        </w:rPr>
        <w:t>ermania)</w:t>
      </w:r>
      <w:r w:rsidR="009F0B8A" w:rsidRPr="00D108AA">
        <w:rPr>
          <w:rFonts w:eastAsia="Calibri" w:cs="Calibri"/>
          <w:color w:val="000000"/>
          <w:lang w:eastAsia="it-IT"/>
        </w:rPr>
        <w:t xml:space="preserve"> </w:t>
      </w:r>
      <w:r w:rsidR="00F67DFC" w:rsidRPr="00D108AA">
        <w:rPr>
          <w:rFonts w:eastAsia="Calibri" w:cs="Calibri"/>
          <w:color w:val="000000"/>
          <w:lang w:eastAsia="it-IT"/>
        </w:rPr>
        <w:t xml:space="preserve">da </w:t>
      </w:r>
      <w:r w:rsidR="00DC187E" w:rsidRPr="00D108AA">
        <w:rPr>
          <w:rFonts w:eastAsia="Calibri" w:cs="Calibri"/>
          <w:color w:val="000000"/>
          <w:lang w:eastAsia="it-IT"/>
        </w:rPr>
        <w:t>almeno 8 anni</w:t>
      </w:r>
      <w:r w:rsidR="00B03E01" w:rsidRPr="00D108AA">
        <w:rPr>
          <w:rFonts w:eastAsia="Calibri" w:cs="Calibri"/>
          <w:color w:val="000000"/>
          <w:lang w:eastAsia="it-IT"/>
        </w:rPr>
        <w:t xml:space="preserve">. </w:t>
      </w:r>
      <w:r>
        <w:rPr>
          <w:rFonts w:eastAsia="Calibri" w:cs="Calibri"/>
          <w:color w:val="000000"/>
          <w:lang w:eastAsia="it-IT"/>
        </w:rPr>
        <w:t>VAPREDIS</w:t>
      </w:r>
      <w:r w:rsidR="00B15135" w:rsidRPr="00D108AA">
        <w:rPr>
          <w:rFonts w:eastAsia="Calibri" w:cs="Calibri"/>
          <w:color w:val="000000"/>
          <w:lang w:eastAsia="it-IT"/>
        </w:rPr>
        <w:t xml:space="preserve"> </w:t>
      </w:r>
      <w:r w:rsidR="00B15135" w:rsidRPr="00D108AA">
        <w:rPr>
          <w:rFonts w:cstheme="minorHAnsi"/>
          <w:color w:val="000000"/>
        </w:rPr>
        <w:t>può essere immesso in commercio solo dopo che</w:t>
      </w:r>
      <w:r w:rsidR="00B15135" w:rsidRPr="00A47604">
        <w:rPr>
          <w:rFonts w:cstheme="minorHAnsi"/>
          <w:color w:val="000000"/>
        </w:rPr>
        <w:t xml:space="preserve"> sono trascorsi </w:t>
      </w:r>
      <w:r w:rsidR="00B15135">
        <w:rPr>
          <w:rFonts w:cstheme="minorHAnsi"/>
          <w:color w:val="000000"/>
        </w:rPr>
        <w:t>10</w:t>
      </w:r>
      <w:r w:rsidR="00B15135" w:rsidRPr="00A47604">
        <w:rPr>
          <w:rFonts w:cstheme="minorHAnsi"/>
          <w:color w:val="000000"/>
        </w:rPr>
        <w:t xml:space="preserve"> anni dall'autorizzazione iniziale del medicinale di riferimento.</w:t>
      </w:r>
    </w:p>
    <w:p w14:paraId="665B2855" w14:textId="77777777" w:rsidR="00445DB2" w:rsidRDefault="00445DB2" w:rsidP="00B03E01">
      <w:pPr>
        <w:widowControl w:val="0"/>
        <w:spacing w:after="0" w:line="240" w:lineRule="auto"/>
        <w:jc w:val="both"/>
        <w:rPr>
          <w:rFonts w:eastAsia="Calibri" w:cs="Calibri"/>
          <w:color w:val="000000"/>
          <w:lang w:eastAsia="it-IT"/>
        </w:rPr>
      </w:pPr>
    </w:p>
    <w:p w14:paraId="665B2856" w14:textId="41089665" w:rsidR="00445DB2" w:rsidRPr="00EB4398" w:rsidRDefault="009D775A" w:rsidP="00BB2AF8">
      <w:pPr>
        <w:widowControl w:val="0"/>
        <w:spacing w:after="0" w:line="240" w:lineRule="auto"/>
        <w:jc w:val="both"/>
        <w:rPr>
          <w:rFonts w:eastAsia="Calibri" w:cs="Calibri"/>
          <w:color w:val="000000"/>
          <w:u w:val="single"/>
          <w:lang w:eastAsia="it-IT"/>
        </w:rPr>
      </w:pPr>
      <w:r>
        <w:rPr>
          <w:rFonts w:eastAsia="Calibri" w:cs="Calibri"/>
          <w:color w:val="000000"/>
          <w:lang w:eastAsia="it-IT"/>
        </w:rPr>
        <w:t>VAPREDIS</w:t>
      </w:r>
      <w:r w:rsidR="00445DB2" w:rsidRPr="00EB4398">
        <w:rPr>
          <w:rFonts w:eastAsia="Calibri" w:cs="Calibri"/>
          <w:color w:val="000000"/>
          <w:lang w:eastAsia="it-IT"/>
        </w:rPr>
        <w:t xml:space="preserve"> </w:t>
      </w:r>
      <w:r w:rsidR="00796BD0">
        <w:rPr>
          <w:rFonts w:eastAsia="Calibri" w:cs="Calibri"/>
          <w:color w:val="000000"/>
          <w:lang w:eastAsia="it-IT"/>
        </w:rPr>
        <w:t xml:space="preserve">25 mg </w:t>
      </w:r>
      <w:r w:rsidR="00445DB2" w:rsidRPr="00EB4398">
        <w:rPr>
          <w:rFonts w:eastAsia="Calibri" w:cs="Calibri"/>
          <w:color w:val="000000"/>
          <w:lang w:eastAsia="it-IT"/>
        </w:rPr>
        <w:t xml:space="preserve">è un “medicinale generico ibrido”. Questo significa che è simile al medicinale di riferimento </w:t>
      </w:r>
      <w:r w:rsidR="00445DB2" w:rsidRPr="004631F3">
        <w:rPr>
          <w:rFonts w:eastAsia="Calibri" w:cs="Calibri"/>
          <w:color w:val="000000"/>
          <w:u w:val="single"/>
          <w:lang w:eastAsia="it-IT"/>
        </w:rPr>
        <w:t>conten</w:t>
      </w:r>
      <w:r w:rsidR="00796BD0">
        <w:rPr>
          <w:rFonts w:eastAsia="Calibri" w:cs="Calibri"/>
          <w:color w:val="000000"/>
          <w:u w:val="single"/>
          <w:lang w:eastAsia="it-IT"/>
        </w:rPr>
        <w:t>ente lo stesso principio attivo</w:t>
      </w:r>
      <w:r w:rsidR="00445DB2" w:rsidRPr="004631F3">
        <w:rPr>
          <w:rFonts w:eastAsia="Calibri" w:cs="Calibri"/>
          <w:color w:val="000000"/>
          <w:u w:val="single"/>
          <w:lang w:eastAsia="it-IT"/>
        </w:rPr>
        <w:t xml:space="preserve"> ma </w:t>
      </w:r>
      <w:r w:rsidR="00796BD0">
        <w:rPr>
          <w:rFonts w:eastAsia="Calibri" w:cs="Calibri"/>
          <w:color w:val="000000"/>
          <w:u w:val="single"/>
          <w:lang w:eastAsia="it-IT"/>
        </w:rPr>
        <w:t>con un diverso</w:t>
      </w:r>
      <w:r w:rsidR="00445DB2" w:rsidRPr="00EB4398">
        <w:rPr>
          <w:rFonts w:eastAsia="Calibri" w:cs="Calibri"/>
          <w:color w:val="000000"/>
          <w:u w:val="single"/>
          <w:lang w:eastAsia="it-IT"/>
        </w:rPr>
        <w:t xml:space="preserve"> </w:t>
      </w:r>
      <w:r w:rsidR="00C058E1">
        <w:rPr>
          <w:rFonts w:eastAsia="Calibri" w:cs="Calibri"/>
          <w:color w:val="000000"/>
          <w:u w:val="single"/>
          <w:lang w:eastAsia="it-IT"/>
        </w:rPr>
        <w:t>dosaggio</w:t>
      </w:r>
      <w:r w:rsidR="00445DB2" w:rsidRPr="00EB4398">
        <w:rPr>
          <w:rFonts w:eastAsia="Calibri" w:cs="Calibri"/>
          <w:color w:val="000000"/>
          <w:u w:val="single"/>
          <w:lang w:eastAsia="it-IT"/>
        </w:rPr>
        <w:t>.</w:t>
      </w:r>
    </w:p>
    <w:p w14:paraId="665B2857" w14:textId="6C66229E" w:rsidR="00445DB2" w:rsidRPr="00EB4398" w:rsidRDefault="00445DB2" w:rsidP="00BB2AF8">
      <w:pPr>
        <w:widowControl w:val="0"/>
        <w:spacing w:after="0" w:line="240" w:lineRule="auto"/>
        <w:jc w:val="both"/>
        <w:rPr>
          <w:rFonts w:eastAsia="Calibri" w:cs="Calibri"/>
          <w:color w:val="000000"/>
          <w:u w:val="single"/>
          <w:lang w:eastAsia="it-IT"/>
        </w:rPr>
      </w:pPr>
      <w:r w:rsidRPr="00EB4398">
        <w:rPr>
          <w:rFonts w:eastAsia="Calibri" w:cs="Calibri"/>
          <w:color w:val="000000"/>
          <w:u w:val="single"/>
          <w:lang w:eastAsia="it-IT"/>
        </w:rPr>
        <w:t xml:space="preserve">La ditta ha fornito dati aggiuntivi per dimostrare la sicurezza e l’efficacia di </w:t>
      </w:r>
      <w:r w:rsidR="009D775A">
        <w:rPr>
          <w:rFonts w:eastAsia="Calibri" w:cs="Calibri"/>
          <w:color w:val="000000"/>
          <w:lang w:eastAsia="it-IT"/>
        </w:rPr>
        <w:t>VAPREDIS</w:t>
      </w:r>
      <w:r w:rsidRPr="00EB4398">
        <w:rPr>
          <w:rFonts w:eastAsia="Calibri" w:cs="Calibri"/>
          <w:color w:val="000000"/>
          <w:lang w:eastAsia="it-IT"/>
        </w:rPr>
        <w:t xml:space="preserve"> in relazione a</w:t>
      </w:r>
      <w:r w:rsidR="00F76F77" w:rsidRPr="00F76F77">
        <w:rPr>
          <w:rFonts w:eastAsia="Calibri" w:cs="Calibri"/>
          <w:color w:val="000000"/>
          <w:lang w:eastAsia="it-IT"/>
        </w:rPr>
        <w:t>lle</w:t>
      </w:r>
      <w:r w:rsidRPr="00EB4398">
        <w:rPr>
          <w:rFonts w:eastAsia="Calibri" w:cs="Calibri"/>
          <w:color w:val="000000"/>
          <w:lang w:eastAsia="it-IT"/>
        </w:rPr>
        <w:t xml:space="preserve"> differenz</w:t>
      </w:r>
      <w:r w:rsidR="00F76F77" w:rsidRPr="00F76F77">
        <w:rPr>
          <w:rFonts w:eastAsia="Calibri" w:cs="Calibri"/>
          <w:color w:val="000000"/>
          <w:lang w:eastAsia="it-IT"/>
        </w:rPr>
        <w:t>e</w:t>
      </w:r>
      <w:r w:rsidRPr="00EB4398">
        <w:rPr>
          <w:rFonts w:eastAsia="Calibri" w:cs="Calibri"/>
          <w:color w:val="000000"/>
          <w:lang w:eastAsia="it-IT"/>
        </w:rPr>
        <w:t xml:space="preserve"> rispetto al prodotto di riferimento.</w:t>
      </w:r>
    </w:p>
    <w:p w14:paraId="665B2858" w14:textId="77777777" w:rsidR="00445DB2" w:rsidRPr="00445DB2" w:rsidRDefault="00445DB2" w:rsidP="00BB2AF8">
      <w:pPr>
        <w:widowControl w:val="0"/>
        <w:spacing w:after="0" w:line="240" w:lineRule="auto"/>
        <w:jc w:val="both"/>
        <w:rPr>
          <w:rFonts w:eastAsia="Calibri" w:cs="Calibri"/>
          <w:color w:val="000000"/>
          <w:highlight w:val="yellow"/>
          <w:u w:val="single"/>
          <w:lang w:eastAsia="it-IT"/>
        </w:rPr>
      </w:pPr>
    </w:p>
    <w:p w14:paraId="665B2859" w14:textId="57279F7C" w:rsidR="00B40718" w:rsidRDefault="009D775A" w:rsidP="00B40718">
      <w:pPr>
        <w:autoSpaceDE w:val="0"/>
        <w:autoSpaceDN w:val="0"/>
        <w:adjustRightInd w:val="0"/>
        <w:spacing w:after="0" w:line="240" w:lineRule="auto"/>
        <w:jc w:val="both"/>
        <w:rPr>
          <w:rFonts w:eastAsia="Calibri" w:cs="Calibri"/>
          <w:lang w:eastAsia="it-IT"/>
        </w:rPr>
      </w:pPr>
      <w:r>
        <w:rPr>
          <w:rFonts w:eastAsia="Calibri" w:cs="Calibri"/>
          <w:lang w:eastAsia="it-IT"/>
        </w:rPr>
        <w:t>VAPREDIS</w:t>
      </w:r>
      <w:r w:rsidR="00B40718" w:rsidRPr="00B40718">
        <w:rPr>
          <w:rFonts w:eastAsia="Calibri" w:cs="Calibri"/>
          <w:lang w:eastAsia="it-IT"/>
        </w:rPr>
        <w:t xml:space="preserve"> viene utilizzato in caso di malattie che rendono necessario un trattamento sistemico con </w:t>
      </w:r>
      <w:proofErr w:type="spellStart"/>
      <w:r w:rsidR="00B40718" w:rsidRPr="00B40718">
        <w:rPr>
          <w:rFonts w:eastAsia="Calibri" w:cs="Calibri"/>
          <w:lang w:eastAsia="it-IT"/>
        </w:rPr>
        <w:t>glucocorticoidi</w:t>
      </w:r>
      <w:proofErr w:type="spellEnd"/>
      <w:r w:rsidR="00B40718" w:rsidRPr="00B40718">
        <w:rPr>
          <w:rFonts w:eastAsia="Calibri" w:cs="Calibri"/>
          <w:lang w:eastAsia="it-IT"/>
        </w:rPr>
        <w:t xml:space="preserve"> tra cui le seguenti in base al tipo e alla gravità</w:t>
      </w:r>
      <w:r w:rsidR="00AF2883">
        <w:rPr>
          <w:rFonts w:eastAsia="Calibri" w:cs="Calibri"/>
          <w:lang w:eastAsia="it-IT"/>
        </w:rPr>
        <w:t>:</w:t>
      </w:r>
    </w:p>
    <w:p w14:paraId="665B285A"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5B"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Trattamento ormonale sostitutivo in caso di</w:t>
      </w:r>
    </w:p>
    <w:p w14:paraId="665B285C"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p>
    <w:p w14:paraId="665B285D" w14:textId="77777777" w:rsidR="00B40718" w:rsidRPr="00364517" w:rsidRDefault="00B40718" w:rsidP="00364517">
      <w:pPr>
        <w:pStyle w:val="Paragrafoelenco"/>
        <w:numPr>
          <w:ilvl w:val="0"/>
          <w:numId w:val="8"/>
        </w:numPr>
        <w:spacing w:after="0" w:line="240" w:lineRule="auto"/>
        <w:ind w:left="284" w:hanging="284"/>
        <w:jc w:val="both"/>
      </w:pPr>
      <w:r w:rsidRPr="00364517">
        <w:lastRenderedPageBreak/>
        <w:t>funzionalità surrenalica diminuita o mancante (insufficienza surrenale) di qualsiasi natura (per es. morbo di Addison, sindrome adrenogenitale, rimozione chirurgica delle ghiandole surrenali, ridotta attività ipofisaria) dopo il periodo di crescita (i farmaci di prima scelta sono idrocortisone e cortisone).</w:t>
      </w:r>
    </w:p>
    <w:p w14:paraId="665B285E" w14:textId="77777777" w:rsidR="00B40718" w:rsidRPr="00364517" w:rsidRDefault="00B40718" w:rsidP="00364517">
      <w:pPr>
        <w:pStyle w:val="Paragrafoelenco"/>
        <w:numPr>
          <w:ilvl w:val="0"/>
          <w:numId w:val="8"/>
        </w:numPr>
        <w:spacing w:after="0" w:line="240" w:lineRule="auto"/>
        <w:ind w:left="284" w:hanging="284"/>
        <w:jc w:val="both"/>
      </w:pPr>
      <w:r w:rsidRPr="00364517">
        <w:t>condizioni di stress dopo trattamento prolungato con corticosteroidi.</w:t>
      </w:r>
    </w:p>
    <w:p w14:paraId="665B285F"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60"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Malattie reumatiche:</w:t>
      </w:r>
    </w:p>
    <w:p w14:paraId="665B2861"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62" w14:textId="77777777"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fasi attive delle infiammazioni dei vasi:</w:t>
      </w:r>
    </w:p>
    <w:p w14:paraId="665B2863" w14:textId="14985EC3"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infiammazione nodulare delle pareti dei vasi (</w:t>
      </w:r>
      <w:proofErr w:type="spellStart"/>
      <w:r w:rsidRPr="00F9785A">
        <w:rPr>
          <w:rFonts w:eastAsia="Calibri" w:cs="Calibri"/>
          <w:lang w:eastAsia="it-IT"/>
        </w:rPr>
        <w:t>panarterite</w:t>
      </w:r>
      <w:proofErr w:type="spellEnd"/>
      <w:r w:rsidRPr="00F9785A">
        <w:rPr>
          <w:rFonts w:eastAsia="Calibri" w:cs="Calibri"/>
          <w:lang w:eastAsia="it-IT"/>
        </w:rPr>
        <w:t xml:space="preserve"> nodosa) (durata del trattamento limitata a due settimane in caso di presenza di infezione da epatite B)</w:t>
      </w:r>
    </w:p>
    <w:p w14:paraId="665B2864" w14:textId="347808BA"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arterite a cellule giganti, dolori muscolari e rigidità muscolare (</w:t>
      </w:r>
      <w:proofErr w:type="spellStart"/>
      <w:r w:rsidRPr="00F9785A">
        <w:rPr>
          <w:rFonts w:eastAsia="Calibri" w:cs="Calibri"/>
          <w:lang w:eastAsia="it-IT"/>
        </w:rPr>
        <w:t>polimialgia</w:t>
      </w:r>
      <w:proofErr w:type="spellEnd"/>
      <w:r w:rsidRPr="00F9785A">
        <w:rPr>
          <w:rFonts w:eastAsia="Calibri" w:cs="Calibri"/>
          <w:lang w:eastAsia="it-IT"/>
        </w:rPr>
        <w:t xml:space="preserve"> reumatica) </w:t>
      </w:r>
    </w:p>
    <w:p w14:paraId="665B2865" w14:textId="2D56D575"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 xml:space="preserve">infiammazione dell’arteria temporale; in caso di perdita acuta della vista è consigliabile un trattamento iniziale d’urto con </w:t>
      </w:r>
      <w:proofErr w:type="spellStart"/>
      <w:r w:rsidRPr="00F9785A">
        <w:rPr>
          <w:rFonts w:eastAsia="Calibri" w:cs="Calibri"/>
          <w:lang w:eastAsia="it-IT"/>
        </w:rPr>
        <w:t>glucocorticoidi</w:t>
      </w:r>
      <w:proofErr w:type="spellEnd"/>
      <w:r w:rsidRPr="00F9785A">
        <w:rPr>
          <w:rFonts w:eastAsia="Calibri" w:cs="Calibri"/>
          <w:lang w:eastAsia="it-IT"/>
        </w:rPr>
        <w:t xml:space="preserve"> per via endovenosa e terapia continua con controllo della velocità di sedimentazione degli eritrociti (VES)</w:t>
      </w:r>
    </w:p>
    <w:p w14:paraId="665B2866" w14:textId="636FDEA9"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 xml:space="preserve">granulomatosi di </w:t>
      </w:r>
      <w:proofErr w:type="spellStart"/>
      <w:r w:rsidRPr="00F9785A">
        <w:rPr>
          <w:rFonts w:eastAsia="Calibri" w:cs="Calibri"/>
          <w:lang w:eastAsia="it-IT"/>
        </w:rPr>
        <w:t>Wegener</w:t>
      </w:r>
      <w:proofErr w:type="spellEnd"/>
      <w:r w:rsidRPr="00F9785A">
        <w:rPr>
          <w:rFonts w:eastAsia="Calibri" w:cs="Calibri"/>
          <w:lang w:eastAsia="it-IT"/>
        </w:rPr>
        <w:t xml:space="preserve">: trattamento di induzione in combinazione con </w:t>
      </w:r>
      <w:proofErr w:type="spellStart"/>
      <w:r w:rsidRPr="00F9785A">
        <w:rPr>
          <w:rFonts w:eastAsia="Calibri" w:cs="Calibri"/>
          <w:lang w:eastAsia="it-IT"/>
        </w:rPr>
        <w:t>metotrexato</w:t>
      </w:r>
      <w:proofErr w:type="spellEnd"/>
      <w:r w:rsidRPr="00F9785A">
        <w:rPr>
          <w:rFonts w:eastAsia="Calibri" w:cs="Calibri"/>
          <w:lang w:eastAsia="it-IT"/>
        </w:rPr>
        <w:t xml:space="preserve"> (forme leggere senza compromissione renale) o secondo lo schema </w:t>
      </w:r>
      <w:proofErr w:type="spellStart"/>
      <w:r w:rsidRPr="00F9785A">
        <w:rPr>
          <w:rFonts w:eastAsia="Calibri" w:cs="Calibri"/>
          <w:lang w:eastAsia="it-IT"/>
        </w:rPr>
        <w:t>Fausi</w:t>
      </w:r>
      <w:proofErr w:type="spellEnd"/>
      <w:r w:rsidRPr="00F9785A">
        <w:rPr>
          <w:rFonts w:eastAsia="Calibri" w:cs="Calibri"/>
          <w:lang w:eastAsia="it-IT"/>
        </w:rPr>
        <w:t xml:space="preserve"> (forme gravi con compromissione dei reni e/o polmoni), mantenimento della remissione: in combinazione con immunosoppressori</w:t>
      </w:r>
    </w:p>
    <w:p w14:paraId="665B2867" w14:textId="375531BB" w:rsidR="00B40718" w:rsidRPr="00F9785A" w:rsidRDefault="00B40718" w:rsidP="00F9785A">
      <w:pPr>
        <w:pStyle w:val="Paragrafoelenco"/>
        <w:numPr>
          <w:ilvl w:val="0"/>
          <w:numId w:val="9"/>
        </w:numPr>
        <w:autoSpaceDE w:val="0"/>
        <w:autoSpaceDN w:val="0"/>
        <w:adjustRightInd w:val="0"/>
        <w:spacing w:after="0" w:line="240" w:lineRule="auto"/>
        <w:jc w:val="both"/>
        <w:rPr>
          <w:rFonts w:eastAsia="Calibri" w:cs="Calibri"/>
          <w:lang w:eastAsia="it-IT"/>
        </w:rPr>
      </w:pPr>
      <w:r w:rsidRPr="00F9785A">
        <w:rPr>
          <w:rFonts w:eastAsia="Calibri" w:cs="Calibri"/>
          <w:lang w:eastAsia="it-IT"/>
        </w:rPr>
        <w:t xml:space="preserve">sindrome di </w:t>
      </w:r>
      <w:proofErr w:type="spellStart"/>
      <w:r w:rsidRPr="00F9785A">
        <w:rPr>
          <w:rFonts w:eastAsia="Calibri" w:cs="Calibri"/>
          <w:lang w:eastAsia="it-IT"/>
        </w:rPr>
        <w:t>Churg</w:t>
      </w:r>
      <w:proofErr w:type="spellEnd"/>
      <w:r w:rsidRPr="00F9785A">
        <w:rPr>
          <w:rFonts w:eastAsia="Calibri" w:cs="Calibri"/>
          <w:lang w:eastAsia="it-IT"/>
        </w:rPr>
        <w:t>-Strauss: terapia iniziale, con compromissione degli organi e decorsi gravi in combinazione con immunosoppressori, mantenimento della remissione</w:t>
      </w:r>
    </w:p>
    <w:p w14:paraId="665B2868" w14:textId="5A61B490"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fasi attive di malattie reumatiche che possono interessare gli organi interni: lupus eritematoso (malattia cronica dovuta ad un’alterazione del sistema immunitario che causa infiammazioni e danni ai tessuti), debolezza muscolare e dolori muscolari (</w:t>
      </w:r>
      <w:proofErr w:type="spellStart"/>
      <w:r w:rsidRPr="00B40718">
        <w:rPr>
          <w:rFonts w:eastAsia="Calibri" w:cs="Calibri"/>
          <w:lang w:eastAsia="it-IT"/>
        </w:rPr>
        <w:t>polimiosite</w:t>
      </w:r>
      <w:proofErr w:type="spellEnd"/>
      <w:r w:rsidRPr="00B40718">
        <w:rPr>
          <w:rFonts w:eastAsia="Calibri" w:cs="Calibri"/>
          <w:lang w:eastAsia="it-IT"/>
        </w:rPr>
        <w:t>)</w:t>
      </w:r>
      <w:r w:rsidR="00F9785A">
        <w:rPr>
          <w:rFonts w:eastAsia="Calibri" w:cs="Calibri"/>
          <w:lang w:eastAsia="it-IT"/>
        </w:rPr>
        <w:t xml:space="preserve"> </w:t>
      </w:r>
      <w:r w:rsidRPr="00B40718">
        <w:rPr>
          <w:rFonts w:eastAsia="Calibri" w:cs="Calibri"/>
          <w:lang w:eastAsia="it-IT"/>
        </w:rPr>
        <w:t>infiammazioni della cartilagine (</w:t>
      </w:r>
      <w:proofErr w:type="spellStart"/>
      <w:r w:rsidRPr="00B40718">
        <w:rPr>
          <w:rFonts w:eastAsia="Calibri" w:cs="Calibri"/>
          <w:lang w:eastAsia="it-IT"/>
        </w:rPr>
        <w:t>policondrite</w:t>
      </w:r>
      <w:proofErr w:type="spellEnd"/>
      <w:r w:rsidRPr="00B40718">
        <w:rPr>
          <w:rFonts w:eastAsia="Calibri" w:cs="Calibri"/>
          <w:lang w:eastAsia="it-IT"/>
        </w:rPr>
        <w:t xml:space="preserve"> cronica atrofizzante)</w:t>
      </w:r>
      <w:r w:rsidR="00F9785A">
        <w:rPr>
          <w:rFonts w:eastAsia="Calibri" w:cs="Calibri"/>
          <w:lang w:eastAsia="it-IT"/>
        </w:rPr>
        <w:t xml:space="preserve"> </w:t>
      </w:r>
      <w:r w:rsidRPr="00B40718">
        <w:rPr>
          <w:rFonts w:eastAsia="Calibri" w:cs="Calibri"/>
          <w:lang w:eastAsia="it-IT"/>
        </w:rPr>
        <w:t>malattie del tessuto connettivo (</w:t>
      </w:r>
      <w:proofErr w:type="spellStart"/>
      <w:r w:rsidRPr="00B40718">
        <w:rPr>
          <w:rFonts w:eastAsia="Calibri" w:cs="Calibri"/>
          <w:lang w:eastAsia="it-IT"/>
        </w:rPr>
        <w:t>collagenosi</w:t>
      </w:r>
      <w:proofErr w:type="spellEnd"/>
      <w:r w:rsidRPr="00B40718">
        <w:rPr>
          <w:rFonts w:eastAsia="Calibri" w:cs="Calibri"/>
          <w:lang w:eastAsia="it-IT"/>
        </w:rPr>
        <w:t xml:space="preserve"> mista)</w:t>
      </w:r>
    </w:p>
    <w:p w14:paraId="665B2869" w14:textId="27D1EF4C"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artrite reumatoide attiva con decorso gravemente progressivo, per es. forme che decorrono velocemente in modo distruttivo o forme che non interessano l’articolazione </w:t>
      </w:r>
    </w:p>
    <w:p w14:paraId="665B286A" w14:textId="73B064AA"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altre artriti reumatiche infiammatorie, se la gravità del quadro clinico lo richiede e non possono essere utilizzati farmaci antinfiammatori non steroidei (FANS)</w:t>
      </w:r>
    </w:p>
    <w:p w14:paraId="665B286B" w14:textId="61E00E6A"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spondiloartriti (spondilite anchilosante che coinvolge le articolazioni periferiche, artrite psoriasica, artropatia enteropatica ad alta attività infiammatoria </w:t>
      </w:r>
    </w:p>
    <w:p w14:paraId="665B286C" w14:textId="606CAC4A"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artriti reattive </w:t>
      </w:r>
    </w:p>
    <w:p w14:paraId="665B286D" w14:textId="474DA9E9"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artrite nella sarcoidosi </w:t>
      </w:r>
    </w:p>
    <w:p w14:paraId="665B286E" w14:textId="097C26A4"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cardite nella febbre reumatica, nei casi gravi nell'arco di 2-3 mesi </w:t>
      </w:r>
    </w:p>
    <w:p w14:paraId="665B286F" w14:textId="7AE310A1"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artrite idiopatica giovanile con forma sistemica grave (sindrome di </w:t>
      </w:r>
      <w:proofErr w:type="spellStart"/>
      <w:r w:rsidRPr="00B40718">
        <w:rPr>
          <w:rFonts w:eastAsia="Calibri" w:cs="Calibri"/>
          <w:lang w:eastAsia="it-IT"/>
        </w:rPr>
        <w:t>Still</w:t>
      </w:r>
      <w:proofErr w:type="spellEnd"/>
      <w:r w:rsidRPr="00B40718">
        <w:rPr>
          <w:rFonts w:eastAsia="Calibri" w:cs="Calibri"/>
          <w:lang w:eastAsia="it-IT"/>
        </w:rPr>
        <w:t>) o con iridociclite quando il trattamento locale è inefficace</w:t>
      </w:r>
      <w:r w:rsidR="00542261">
        <w:rPr>
          <w:rFonts w:eastAsia="Calibri" w:cs="Calibri"/>
          <w:lang w:eastAsia="it-IT"/>
        </w:rPr>
        <w:t>.</w:t>
      </w:r>
    </w:p>
    <w:p w14:paraId="665B2870"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71"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Patologie bronchiali e polmonari:</w:t>
      </w:r>
    </w:p>
    <w:p w14:paraId="665B2872"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73" w14:textId="7401F363"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Asma bronchiale allo stesso tempo si raccomanda la somministrazione di broncodilatatori</w:t>
      </w:r>
    </w:p>
    <w:p w14:paraId="665B2874" w14:textId="09E30365"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Esacerbazione acuta della </w:t>
      </w:r>
      <w:proofErr w:type="spellStart"/>
      <w:r w:rsidRPr="00B40718">
        <w:rPr>
          <w:rFonts w:eastAsia="Calibri" w:cs="Calibri"/>
          <w:lang w:eastAsia="it-IT"/>
        </w:rPr>
        <w:t>broncopneumopatia</w:t>
      </w:r>
      <w:proofErr w:type="spellEnd"/>
      <w:r w:rsidRPr="00B40718">
        <w:rPr>
          <w:rFonts w:eastAsia="Calibri" w:cs="Calibri"/>
          <w:lang w:eastAsia="it-IT"/>
        </w:rPr>
        <w:t xml:space="preserve"> cronica ostruttiva BPCO, durata raccomandata della terapia fino a 10 giorni</w:t>
      </w:r>
    </w:p>
    <w:p w14:paraId="665B2875" w14:textId="327C33E8"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Malattie polmonari interstiziali come l'alveolite acuta, la fibrosi polmonare, la bronchiolite obliterante che polmonite organizzata (BOOP), eventualmente in combinazione con immunosoppressori, la polmonite eosinofila cronica, per il trattamento a lungo termine di forme croniche di sarcoidosi negli stadi II e III (in caso di mancanza di respiro, tosse e deterioramento dei valori di funzionalità polmonare) </w:t>
      </w:r>
    </w:p>
    <w:p w14:paraId="665B2876" w14:textId="7A8EDF4A" w:rsidR="00B40718" w:rsidRPr="00B40718" w:rsidRDefault="00B40718" w:rsidP="00364517">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Profilassi della sindrome da </w:t>
      </w:r>
      <w:proofErr w:type="spellStart"/>
      <w:r w:rsidRPr="00B40718">
        <w:rPr>
          <w:rFonts w:eastAsia="Calibri" w:cs="Calibri"/>
          <w:lang w:eastAsia="it-IT"/>
        </w:rPr>
        <w:t>distress</w:t>
      </w:r>
      <w:proofErr w:type="spellEnd"/>
      <w:r w:rsidRPr="00B40718">
        <w:rPr>
          <w:rFonts w:eastAsia="Calibri" w:cs="Calibri"/>
          <w:lang w:eastAsia="it-IT"/>
        </w:rPr>
        <w:t xml:space="preserve"> respiratorio nei neonati pretermine</w:t>
      </w:r>
      <w:r w:rsidR="00C96DAE">
        <w:rPr>
          <w:rFonts w:eastAsia="Calibri" w:cs="Calibri"/>
          <w:lang w:eastAsia="it-IT"/>
        </w:rPr>
        <w:t>.</w:t>
      </w:r>
    </w:p>
    <w:p w14:paraId="665B2877"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78"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Malattie delle vie respiratorie superiori:</w:t>
      </w:r>
    </w:p>
    <w:p w14:paraId="665B2879"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7A" w14:textId="56191969" w:rsidR="00B40718" w:rsidRPr="00B40718" w:rsidRDefault="00B40718" w:rsidP="00CF5368">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Forme gravi di polli</w:t>
      </w:r>
      <w:r w:rsidR="00364517">
        <w:rPr>
          <w:rFonts w:eastAsia="Calibri" w:cs="Calibri"/>
          <w:lang w:eastAsia="it-IT"/>
        </w:rPr>
        <w:t>nosi e rinite allergica dopo il</w:t>
      </w:r>
      <w:r w:rsidRPr="00B40718">
        <w:rPr>
          <w:rFonts w:eastAsia="Calibri" w:cs="Calibri"/>
          <w:lang w:eastAsia="it-IT"/>
        </w:rPr>
        <w:t xml:space="preserve"> fallimento della somministrazione </w:t>
      </w:r>
      <w:proofErr w:type="spellStart"/>
      <w:r w:rsidRPr="00B40718">
        <w:rPr>
          <w:rFonts w:eastAsia="Calibri" w:cs="Calibri"/>
          <w:lang w:eastAsia="it-IT"/>
        </w:rPr>
        <w:t>intranasale</w:t>
      </w:r>
      <w:proofErr w:type="spellEnd"/>
      <w:r w:rsidRPr="00B40718">
        <w:rPr>
          <w:rFonts w:eastAsia="Calibri" w:cs="Calibri"/>
          <w:lang w:eastAsia="it-IT"/>
        </w:rPr>
        <w:t xml:space="preserve"> di </w:t>
      </w:r>
      <w:proofErr w:type="spellStart"/>
      <w:r w:rsidRPr="00B40718">
        <w:rPr>
          <w:rFonts w:eastAsia="Calibri" w:cs="Calibri"/>
          <w:lang w:eastAsia="it-IT"/>
        </w:rPr>
        <w:t>glucocorticoidi</w:t>
      </w:r>
      <w:proofErr w:type="spellEnd"/>
      <w:r w:rsidRPr="00B40718">
        <w:rPr>
          <w:rFonts w:eastAsia="Calibri" w:cs="Calibri"/>
          <w:lang w:eastAsia="it-IT"/>
        </w:rPr>
        <w:t xml:space="preserve"> </w:t>
      </w:r>
    </w:p>
    <w:p w14:paraId="61166FDC" w14:textId="680BEFFC" w:rsidR="00D5535C" w:rsidRPr="00B40718" w:rsidRDefault="00B40718" w:rsidP="00C15215">
      <w:pPr>
        <w:pStyle w:val="Paragrafoelenco"/>
        <w:numPr>
          <w:ilvl w:val="0"/>
          <w:numId w:val="8"/>
        </w:numPr>
        <w:autoSpaceDE w:val="0"/>
        <w:autoSpaceDN w:val="0"/>
        <w:adjustRightInd w:val="0"/>
        <w:spacing w:after="0" w:line="240" w:lineRule="auto"/>
        <w:ind w:left="284" w:hanging="284"/>
        <w:jc w:val="both"/>
        <w:rPr>
          <w:rFonts w:eastAsia="Calibri" w:cs="Calibri"/>
          <w:lang w:eastAsia="it-IT"/>
        </w:rPr>
      </w:pPr>
      <w:r w:rsidRPr="00D5535C">
        <w:rPr>
          <w:rFonts w:eastAsia="Calibri" w:cs="Calibri"/>
          <w:lang w:eastAsia="it-IT"/>
        </w:rPr>
        <w:t xml:space="preserve">Stenosi acuta della laringe e della trachea: edema di </w:t>
      </w:r>
      <w:proofErr w:type="spellStart"/>
      <w:r w:rsidRPr="00D5535C">
        <w:rPr>
          <w:rFonts w:eastAsia="Calibri" w:cs="Calibri"/>
          <w:lang w:eastAsia="it-IT"/>
        </w:rPr>
        <w:t>Quincke</w:t>
      </w:r>
      <w:proofErr w:type="spellEnd"/>
      <w:r w:rsidRPr="00D5535C">
        <w:rPr>
          <w:rFonts w:eastAsia="Calibri" w:cs="Calibri"/>
          <w:lang w:eastAsia="it-IT"/>
        </w:rPr>
        <w:t>, laringite ostruttiva sottoglottica (pseudo-</w:t>
      </w:r>
      <w:proofErr w:type="spellStart"/>
      <w:r w:rsidRPr="00D5535C">
        <w:rPr>
          <w:rFonts w:eastAsia="Calibri" w:cs="Calibri"/>
          <w:lang w:eastAsia="it-IT"/>
        </w:rPr>
        <w:t>croup</w:t>
      </w:r>
      <w:proofErr w:type="spellEnd"/>
      <w:r w:rsidRPr="00D5535C">
        <w:rPr>
          <w:rFonts w:eastAsia="Calibri" w:cs="Calibri"/>
          <w:lang w:eastAsia="it-IT"/>
        </w:rPr>
        <w:t xml:space="preserve">) </w:t>
      </w:r>
    </w:p>
    <w:p w14:paraId="665B287C" w14:textId="77777777" w:rsidR="00B40718" w:rsidRDefault="00B40718" w:rsidP="00D5535C">
      <w:pPr>
        <w:autoSpaceDE w:val="0"/>
        <w:autoSpaceDN w:val="0"/>
        <w:adjustRightInd w:val="0"/>
        <w:spacing w:after="0" w:line="240" w:lineRule="auto"/>
        <w:jc w:val="both"/>
        <w:rPr>
          <w:rFonts w:eastAsia="Calibri" w:cs="Calibri"/>
          <w:lang w:eastAsia="it-IT"/>
        </w:rPr>
      </w:pPr>
    </w:p>
    <w:p w14:paraId="5B2E7C1C" w14:textId="77777777" w:rsidR="00D5535C" w:rsidRDefault="00D5535C" w:rsidP="00D5535C">
      <w:pPr>
        <w:autoSpaceDE w:val="0"/>
        <w:autoSpaceDN w:val="0"/>
        <w:adjustRightInd w:val="0"/>
        <w:spacing w:after="0" w:line="240" w:lineRule="auto"/>
        <w:jc w:val="both"/>
        <w:rPr>
          <w:rFonts w:eastAsia="Calibri" w:cs="Calibri"/>
          <w:lang w:eastAsia="it-IT"/>
        </w:rPr>
      </w:pPr>
    </w:p>
    <w:p w14:paraId="64658485" w14:textId="77777777" w:rsidR="00D5535C" w:rsidRDefault="00D5535C" w:rsidP="00D5535C">
      <w:pPr>
        <w:autoSpaceDE w:val="0"/>
        <w:autoSpaceDN w:val="0"/>
        <w:adjustRightInd w:val="0"/>
        <w:spacing w:after="0" w:line="240" w:lineRule="auto"/>
        <w:jc w:val="both"/>
        <w:rPr>
          <w:rFonts w:eastAsia="Calibri" w:cs="Calibri"/>
          <w:lang w:eastAsia="it-IT"/>
        </w:rPr>
      </w:pPr>
    </w:p>
    <w:p w14:paraId="625D28B0" w14:textId="77777777" w:rsidR="00D5535C" w:rsidRPr="00C15215" w:rsidRDefault="00D5535C" w:rsidP="00D5535C">
      <w:pPr>
        <w:autoSpaceDE w:val="0"/>
        <w:autoSpaceDN w:val="0"/>
        <w:adjustRightInd w:val="0"/>
        <w:spacing w:after="0" w:line="240" w:lineRule="auto"/>
        <w:jc w:val="both"/>
        <w:rPr>
          <w:rFonts w:eastAsia="Calibri" w:cs="Calibri"/>
          <w:lang w:eastAsia="it-IT"/>
        </w:rPr>
      </w:pPr>
    </w:p>
    <w:p w14:paraId="665B287D"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Malattie della pelle:</w:t>
      </w:r>
    </w:p>
    <w:p w14:paraId="665B287E"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55EB8171" w14:textId="77777777" w:rsidR="004C017F" w:rsidRDefault="00B40718" w:rsidP="00B40718">
      <w:pPr>
        <w:autoSpaceDE w:val="0"/>
        <w:autoSpaceDN w:val="0"/>
        <w:adjustRightInd w:val="0"/>
        <w:spacing w:after="0" w:line="240" w:lineRule="auto"/>
        <w:jc w:val="both"/>
        <w:rPr>
          <w:rFonts w:eastAsia="Calibri" w:cs="Calibri"/>
          <w:lang w:eastAsia="it-IT"/>
        </w:rPr>
      </w:pPr>
      <w:r w:rsidRPr="00B40718">
        <w:rPr>
          <w:rFonts w:eastAsia="Calibri" w:cs="Calibri"/>
          <w:lang w:eastAsia="it-IT"/>
        </w:rPr>
        <w:t xml:space="preserve">Malattie della pelle e delle mucose che non possono essere trattate o non possono essere adeguatamente trattate con </w:t>
      </w:r>
      <w:proofErr w:type="spellStart"/>
      <w:r w:rsidRPr="00B40718">
        <w:rPr>
          <w:rFonts w:eastAsia="Calibri" w:cs="Calibri"/>
          <w:lang w:eastAsia="it-IT"/>
        </w:rPr>
        <w:t>glucocorticoidi</w:t>
      </w:r>
      <w:proofErr w:type="spellEnd"/>
      <w:r w:rsidRPr="00B40718">
        <w:rPr>
          <w:rFonts w:eastAsia="Calibri" w:cs="Calibri"/>
          <w:lang w:eastAsia="it-IT"/>
        </w:rPr>
        <w:t xml:space="preserve"> topici a causa della loro gravità e/o estensione o coinvolgimento del sistema. </w:t>
      </w:r>
    </w:p>
    <w:p w14:paraId="665B287F" w14:textId="305C09AA" w:rsidR="00B40718" w:rsidRPr="00B40718" w:rsidRDefault="00B40718" w:rsidP="00B40718">
      <w:pPr>
        <w:autoSpaceDE w:val="0"/>
        <w:autoSpaceDN w:val="0"/>
        <w:adjustRightInd w:val="0"/>
        <w:spacing w:after="0" w:line="240" w:lineRule="auto"/>
        <w:jc w:val="both"/>
        <w:rPr>
          <w:rFonts w:eastAsia="Calibri" w:cs="Calibri"/>
          <w:lang w:eastAsia="it-IT"/>
        </w:rPr>
      </w:pPr>
      <w:r w:rsidRPr="00B40718">
        <w:rPr>
          <w:rFonts w:eastAsia="Calibri" w:cs="Calibri"/>
          <w:lang w:eastAsia="it-IT"/>
        </w:rPr>
        <w:t>Questi includono:</w:t>
      </w:r>
    </w:p>
    <w:p w14:paraId="665B2880" w14:textId="2D0282D2"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Malattie allergiche, pseudo-allergiche e allergico-infettive: ad es. orticaria acuta, reazioni anafilattoidi, esantema farmacologico, eritema essudativo multiforme, </w:t>
      </w:r>
      <w:proofErr w:type="spellStart"/>
      <w:r w:rsidRPr="00B40718">
        <w:rPr>
          <w:rFonts w:eastAsia="Calibri" w:cs="Calibri"/>
          <w:lang w:eastAsia="it-IT"/>
        </w:rPr>
        <w:t>necrolisi</w:t>
      </w:r>
      <w:proofErr w:type="spellEnd"/>
      <w:r w:rsidRPr="00B40718">
        <w:rPr>
          <w:rFonts w:eastAsia="Calibri" w:cs="Calibri"/>
          <w:lang w:eastAsia="it-IT"/>
        </w:rPr>
        <w:t xml:space="preserve"> epidermica tossica (sindrome di </w:t>
      </w:r>
      <w:proofErr w:type="spellStart"/>
      <w:r w:rsidRPr="00B40718">
        <w:rPr>
          <w:rFonts w:eastAsia="Calibri" w:cs="Calibri"/>
          <w:lang w:eastAsia="it-IT"/>
        </w:rPr>
        <w:t>Lyell</w:t>
      </w:r>
      <w:proofErr w:type="spellEnd"/>
      <w:r w:rsidRPr="00B40718">
        <w:rPr>
          <w:rFonts w:eastAsia="Calibri" w:cs="Calibri"/>
          <w:lang w:eastAsia="it-IT"/>
        </w:rPr>
        <w:t xml:space="preserve">), pustolosi acuta generalizzata, eritema nodoso, dermatosi acuta febbrile dei neutrofili (sindrome di </w:t>
      </w:r>
      <w:proofErr w:type="spellStart"/>
      <w:r w:rsidRPr="00B40718">
        <w:rPr>
          <w:rFonts w:eastAsia="Calibri" w:cs="Calibri"/>
          <w:lang w:eastAsia="it-IT"/>
        </w:rPr>
        <w:t>Sweet</w:t>
      </w:r>
      <w:proofErr w:type="spellEnd"/>
      <w:r w:rsidRPr="00B40718">
        <w:rPr>
          <w:rFonts w:eastAsia="Calibri" w:cs="Calibri"/>
          <w:lang w:eastAsia="it-IT"/>
        </w:rPr>
        <w:t xml:space="preserve">), dermatite allergica da contatto </w:t>
      </w:r>
    </w:p>
    <w:p w14:paraId="665B2881" w14:textId="546177D2"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Malattie da eczema: ad es. eczema atopico, eczema da contatto, eczema microbico (</w:t>
      </w:r>
      <w:proofErr w:type="spellStart"/>
      <w:r w:rsidRPr="00B40718">
        <w:rPr>
          <w:rFonts w:eastAsia="Calibri" w:cs="Calibri"/>
          <w:lang w:eastAsia="it-IT"/>
        </w:rPr>
        <w:t>nummulare</w:t>
      </w:r>
      <w:proofErr w:type="spellEnd"/>
      <w:r w:rsidRPr="00B40718">
        <w:rPr>
          <w:rFonts w:eastAsia="Calibri" w:cs="Calibri"/>
          <w:lang w:eastAsia="it-IT"/>
        </w:rPr>
        <w:t xml:space="preserve">) </w:t>
      </w:r>
    </w:p>
    <w:p w14:paraId="665B2882" w14:textId="3A3EA2B5"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Malattie granulomatose: ad es. sarcoidosi, cheilite granulomatosa (sindrome monosintomatica di </w:t>
      </w:r>
      <w:proofErr w:type="spellStart"/>
      <w:r w:rsidRPr="00B40718">
        <w:rPr>
          <w:rFonts w:eastAsia="Calibri" w:cs="Calibri"/>
          <w:lang w:eastAsia="it-IT"/>
        </w:rPr>
        <w:t>Melkersson-Rosenthal</w:t>
      </w:r>
      <w:proofErr w:type="spellEnd"/>
      <w:r w:rsidRPr="00B40718">
        <w:rPr>
          <w:rFonts w:eastAsia="Calibri" w:cs="Calibri"/>
          <w:lang w:eastAsia="it-IT"/>
        </w:rPr>
        <w:t xml:space="preserve">) </w:t>
      </w:r>
    </w:p>
    <w:p w14:paraId="665B2883" w14:textId="0FF4D76B"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Dermatosi bollose: ad es. pemfigo volgare, pemfigoide bolloso, pemfigoide benigno delle mucose, dermatosi </w:t>
      </w:r>
      <w:proofErr w:type="spellStart"/>
      <w:r w:rsidRPr="00B40718">
        <w:rPr>
          <w:rFonts w:eastAsia="Calibri" w:cs="Calibri"/>
          <w:lang w:eastAsia="it-IT"/>
        </w:rPr>
        <w:t>IgA</w:t>
      </w:r>
      <w:proofErr w:type="spellEnd"/>
      <w:r w:rsidRPr="00B40718">
        <w:rPr>
          <w:rFonts w:eastAsia="Calibri" w:cs="Calibri"/>
          <w:lang w:eastAsia="it-IT"/>
        </w:rPr>
        <w:t xml:space="preserve">-lineari </w:t>
      </w:r>
    </w:p>
    <w:p w14:paraId="665B2884" w14:textId="3EF8D94C"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proofErr w:type="spellStart"/>
      <w:r w:rsidRPr="00B40718">
        <w:rPr>
          <w:rFonts w:eastAsia="Calibri" w:cs="Calibri"/>
          <w:lang w:eastAsia="it-IT"/>
        </w:rPr>
        <w:t>Vasculiti</w:t>
      </w:r>
      <w:proofErr w:type="spellEnd"/>
      <w:r w:rsidRPr="00B40718">
        <w:rPr>
          <w:rFonts w:eastAsia="Calibri" w:cs="Calibri"/>
          <w:lang w:eastAsia="it-IT"/>
        </w:rPr>
        <w:t xml:space="preserve">: per es. </w:t>
      </w:r>
      <w:proofErr w:type="spellStart"/>
      <w:r w:rsidRPr="00B40718">
        <w:rPr>
          <w:rFonts w:eastAsia="Calibri" w:cs="Calibri"/>
          <w:lang w:eastAsia="it-IT"/>
        </w:rPr>
        <w:t>Vasculite</w:t>
      </w:r>
      <w:proofErr w:type="spellEnd"/>
      <w:r w:rsidRPr="00B40718">
        <w:rPr>
          <w:rFonts w:eastAsia="Calibri" w:cs="Calibri"/>
          <w:lang w:eastAsia="it-IT"/>
        </w:rPr>
        <w:t xml:space="preserve"> allergica, </w:t>
      </w:r>
      <w:proofErr w:type="spellStart"/>
      <w:r w:rsidRPr="00B40718">
        <w:rPr>
          <w:rFonts w:eastAsia="Calibri" w:cs="Calibri"/>
          <w:lang w:eastAsia="it-IT"/>
        </w:rPr>
        <w:t>Poliarterite</w:t>
      </w:r>
      <w:proofErr w:type="spellEnd"/>
      <w:r w:rsidRPr="00B40718">
        <w:rPr>
          <w:rFonts w:eastAsia="Calibri" w:cs="Calibri"/>
          <w:lang w:eastAsia="it-IT"/>
        </w:rPr>
        <w:t xml:space="preserve"> nodosa </w:t>
      </w:r>
    </w:p>
    <w:p w14:paraId="665B2885" w14:textId="6BB4FFA4"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Malattie autoimmuni: ad es. </w:t>
      </w:r>
      <w:proofErr w:type="spellStart"/>
      <w:r w:rsidRPr="00B40718">
        <w:rPr>
          <w:rFonts w:eastAsia="Calibri" w:cs="Calibri"/>
          <w:lang w:eastAsia="it-IT"/>
        </w:rPr>
        <w:t>dermatomiosite</w:t>
      </w:r>
      <w:proofErr w:type="spellEnd"/>
      <w:r w:rsidRPr="00B40718">
        <w:rPr>
          <w:rFonts w:eastAsia="Calibri" w:cs="Calibri"/>
          <w:lang w:eastAsia="it-IT"/>
        </w:rPr>
        <w:t xml:space="preserve">, sclerodermia sistemica (fase indurativa), lupus eritematoso cutaneo cronico e subacuto </w:t>
      </w:r>
    </w:p>
    <w:p w14:paraId="665B2886" w14:textId="7747B94D"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Dermatosi gravidiche</w:t>
      </w:r>
      <w:r w:rsidR="00917B64">
        <w:rPr>
          <w:rFonts w:eastAsia="Calibri" w:cs="Calibri"/>
          <w:lang w:eastAsia="it-IT"/>
        </w:rPr>
        <w:t xml:space="preserve">: </w:t>
      </w:r>
      <w:r w:rsidRPr="00B40718">
        <w:rPr>
          <w:rFonts w:eastAsia="Calibri" w:cs="Calibri"/>
          <w:lang w:eastAsia="it-IT"/>
        </w:rPr>
        <w:t xml:space="preserve">ad esempio herpes </w:t>
      </w:r>
      <w:proofErr w:type="spellStart"/>
      <w:r w:rsidRPr="00B40718">
        <w:rPr>
          <w:rFonts w:eastAsia="Calibri" w:cs="Calibri"/>
          <w:lang w:eastAsia="it-IT"/>
        </w:rPr>
        <w:t>gestazionis</w:t>
      </w:r>
      <w:proofErr w:type="spellEnd"/>
      <w:r w:rsidRPr="00B40718">
        <w:rPr>
          <w:rFonts w:eastAsia="Calibri" w:cs="Calibri"/>
          <w:lang w:eastAsia="it-IT"/>
        </w:rPr>
        <w:t xml:space="preserve">, impetigine erpetiforme </w:t>
      </w:r>
    </w:p>
    <w:p w14:paraId="665B2887" w14:textId="4419ACD3"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Dermatosi </w:t>
      </w:r>
      <w:proofErr w:type="spellStart"/>
      <w:r w:rsidRPr="00B40718">
        <w:rPr>
          <w:rFonts w:eastAsia="Calibri" w:cs="Calibri"/>
          <w:lang w:eastAsia="it-IT"/>
        </w:rPr>
        <w:t>eritemato</w:t>
      </w:r>
      <w:proofErr w:type="spellEnd"/>
      <w:r w:rsidRPr="00B40718">
        <w:rPr>
          <w:rFonts w:eastAsia="Calibri" w:cs="Calibri"/>
          <w:lang w:eastAsia="it-IT"/>
        </w:rPr>
        <w:t xml:space="preserve">-squamose: per es. psoriasi pustolosa, pitiriasi rubra pilare, gruppo delle </w:t>
      </w:r>
      <w:proofErr w:type="spellStart"/>
      <w:r w:rsidRPr="00B40718">
        <w:rPr>
          <w:rFonts w:eastAsia="Calibri" w:cs="Calibri"/>
          <w:lang w:eastAsia="it-IT"/>
        </w:rPr>
        <w:t>parapsoriasi</w:t>
      </w:r>
      <w:proofErr w:type="spellEnd"/>
      <w:r w:rsidRPr="00B40718">
        <w:rPr>
          <w:rFonts w:eastAsia="Calibri" w:cs="Calibri"/>
          <w:lang w:eastAsia="it-IT"/>
        </w:rPr>
        <w:t xml:space="preserve"> </w:t>
      </w:r>
    </w:p>
    <w:p w14:paraId="665B2888" w14:textId="2807E402"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Eritrodermia, anche nella sindrome di </w:t>
      </w:r>
      <w:proofErr w:type="spellStart"/>
      <w:r w:rsidRPr="00B40718">
        <w:rPr>
          <w:rFonts w:eastAsia="Calibri" w:cs="Calibri"/>
          <w:lang w:eastAsia="it-IT"/>
        </w:rPr>
        <w:t>Sézary</w:t>
      </w:r>
      <w:proofErr w:type="spellEnd"/>
      <w:r w:rsidRPr="00B40718">
        <w:rPr>
          <w:rFonts w:eastAsia="Calibri" w:cs="Calibri"/>
          <w:lang w:eastAsia="it-IT"/>
        </w:rPr>
        <w:t xml:space="preserve"> </w:t>
      </w:r>
    </w:p>
    <w:p w14:paraId="665B2889" w14:textId="3F1389DC"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Altre patologie: ad es. reazione di </w:t>
      </w:r>
      <w:proofErr w:type="spellStart"/>
      <w:r w:rsidRPr="00B40718">
        <w:rPr>
          <w:rFonts w:eastAsia="Calibri" w:cs="Calibri"/>
          <w:lang w:eastAsia="it-IT"/>
        </w:rPr>
        <w:t>Jarisch-Herxheimer</w:t>
      </w:r>
      <w:proofErr w:type="spellEnd"/>
      <w:r w:rsidRPr="00B40718">
        <w:rPr>
          <w:rFonts w:eastAsia="Calibri" w:cs="Calibri"/>
          <w:lang w:eastAsia="it-IT"/>
        </w:rPr>
        <w:t xml:space="preserve"> con trattamento con penicillina del </w:t>
      </w:r>
      <w:proofErr w:type="spellStart"/>
      <w:r w:rsidRPr="00B40718">
        <w:rPr>
          <w:rFonts w:eastAsia="Calibri" w:cs="Calibri"/>
          <w:lang w:eastAsia="it-IT"/>
        </w:rPr>
        <w:t>Lues</w:t>
      </w:r>
      <w:proofErr w:type="spellEnd"/>
      <w:r w:rsidRPr="00B40718">
        <w:rPr>
          <w:rFonts w:eastAsia="Calibri" w:cs="Calibri"/>
          <w:lang w:eastAsia="it-IT"/>
        </w:rPr>
        <w:t xml:space="preserve">, emangioma cavernoso in crescita rapida e in aumento, malattia di </w:t>
      </w:r>
      <w:proofErr w:type="spellStart"/>
      <w:r w:rsidRPr="00B40718">
        <w:rPr>
          <w:rFonts w:eastAsia="Calibri" w:cs="Calibri"/>
          <w:lang w:eastAsia="it-IT"/>
        </w:rPr>
        <w:t>Behçet</w:t>
      </w:r>
      <w:proofErr w:type="spellEnd"/>
      <w:r w:rsidRPr="00B40718">
        <w:rPr>
          <w:rFonts w:eastAsia="Calibri" w:cs="Calibri"/>
          <w:lang w:eastAsia="it-IT"/>
        </w:rPr>
        <w:t xml:space="preserve">, </w:t>
      </w:r>
      <w:proofErr w:type="spellStart"/>
      <w:r w:rsidRPr="00B40718">
        <w:rPr>
          <w:rFonts w:eastAsia="Calibri" w:cs="Calibri"/>
          <w:lang w:eastAsia="it-IT"/>
        </w:rPr>
        <w:t>pioderma</w:t>
      </w:r>
      <w:proofErr w:type="spellEnd"/>
      <w:r w:rsidRPr="00B40718">
        <w:rPr>
          <w:rFonts w:eastAsia="Calibri" w:cs="Calibri"/>
          <w:lang w:eastAsia="it-IT"/>
        </w:rPr>
        <w:t xml:space="preserve"> gangrenoso, </w:t>
      </w:r>
      <w:proofErr w:type="spellStart"/>
      <w:r w:rsidRPr="00B40718">
        <w:rPr>
          <w:rFonts w:eastAsia="Calibri" w:cs="Calibri"/>
          <w:lang w:eastAsia="it-IT"/>
        </w:rPr>
        <w:t>fascite</w:t>
      </w:r>
      <w:proofErr w:type="spellEnd"/>
      <w:r w:rsidRPr="00B40718">
        <w:rPr>
          <w:rFonts w:eastAsia="Calibri" w:cs="Calibri"/>
          <w:lang w:eastAsia="it-IT"/>
        </w:rPr>
        <w:t xml:space="preserve"> eosinofila, lichen </w:t>
      </w:r>
      <w:proofErr w:type="spellStart"/>
      <w:r w:rsidRPr="00B40718">
        <w:rPr>
          <w:rFonts w:eastAsia="Calibri" w:cs="Calibri"/>
          <w:lang w:eastAsia="it-IT"/>
        </w:rPr>
        <w:t>ruber</w:t>
      </w:r>
      <w:proofErr w:type="spellEnd"/>
      <w:r w:rsidRPr="00B40718">
        <w:rPr>
          <w:rFonts w:eastAsia="Calibri" w:cs="Calibri"/>
          <w:lang w:eastAsia="it-IT"/>
        </w:rPr>
        <w:t xml:space="preserve"> esantematico, </w:t>
      </w:r>
      <w:proofErr w:type="spellStart"/>
      <w:r w:rsidRPr="00B40718">
        <w:rPr>
          <w:rFonts w:eastAsia="Calibri" w:cs="Calibri"/>
          <w:lang w:eastAsia="it-IT"/>
        </w:rPr>
        <w:t>epidermolisi</w:t>
      </w:r>
      <w:proofErr w:type="spellEnd"/>
      <w:r w:rsidRPr="00B40718">
        <w:rPr>
          <w:rFonts w:eastAsia="Calibri" w:cs="Calibri"/>
          <w:lang w:eastAsia="it-IT"/>
        </w:rPr>
        <w:t xml:space="preserve"> bollosa ereditaria </w:t>
      </w:r>
    </w:p>
    <w:p w14:paraId="665B288A"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8B"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Malattie del sangue/malattie tumorali:</w:t>
      </w:r>
    </w:p>
    <w:p w14:paraId="665B288C"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8D" w14:textId="38085650"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Anemia emolitica autoimmune, porpora </w:t>
      </w:r>
      <w:proofErr w:type="spellStart"/>
      <w:r w:rsidRPr="00B40718">
        <w:rPr>
          <w:rFonts w:eastAsia="Calibri" w:cs="Calibri"/>
          <w:lang w:eastAsia="it-IT"/>
        </w:rPr>
        <w:t>trombocitopenica</w:t>
      </w:r>
      <w:proofErr w:type="spellEnd"/>
      <w:r w:rsidRPr="00B40718">
        <w:rPr>
          <w:rFonts w:eastAsia="Calibri" w:cs="Calibri"/>
          <w:lang w:eastAsia="it-IT"/>
        </w:rPr>
        <w:t xml:space="preserve"> idiopatica (malattia di </w:t>
      </w:r>
      <w:proofErr w:type="spellStart"/>
      <w:r w:rsidRPr="00B40718">
        <w:rPr>
          <w:rFonts w:eastAsia="Calibri" w:cs="Calibri"/>
          <w:lang w:eastAsia="it-IT"/>
        </w:rPr>
        <w:t>Werlhof</w:t>
      </w:r>
      <w:proofErr w:type="spellEnd"/>
      <w:r w:rsidRPr="00B40718">
        <w:rPr>
          <w:rFonts w:eastAsia="Calibri" w:cs="Calibri"/>
          <w:lang w:eastAsia="it-IT"/>
        </w:rPr>
        <w:t>)</w:t>
      </w:r>
      <w:r w:rsidR="00C57D88">
        <w:rPr>
          <w:rFonts w:eastAsia="Calibri" w:cs="Calibri"/>
          <w:lang w:eastAsia="it-IT"/>
        </w:rPr>
        <w:t xml:space="preserve">, </w:t>
      </w:r>
      <w:r w:rsidRPr="00B40718">
        <w:rPr>
          <w:rFonts w:eastAsia="Calibri" w:cs="Calibri"/>
          <w:lang w:eastAsia="it-IT"/>
        </w:rPr>
        <w:t xml:space="preserve">trombocitopenia acuta intermittente </w:t>
      </w:r>
    </w:p>
    <w:p w14:paraId="665B288E" w14:textId="32E40684"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Leucemia linfoblastica acuta, morbo di </w:t>
      </w:r>
      <w:proofErr w:type="spellStart"/>
      <w:r w:rsidRPr="00B40718">
        <w:rPr>
          <w:rFonts w:eastAsia="Calibri" w:cs="Calibri"/>
          <w:lang w:eastAsia="it-IT"/>
        </w:rPr>
        <w:t>Hodgkin</w:t>
      </w:r>
      <w:proofErr w:type="spellEnd"/>
      <w:r w:rsidRPr="00B40718">
        <w:rPr>
          <w:rFonts w:eastAsia="Calibri" w:cs="Calibri"/>
          <w:lang w:eastAsia="it-IT"/>
        </w:rPr>
        <w:t>, linfoma non-</w:t>
      </w:r>
      <w:proofErr w:type="spellStart"/>
      <w:r w:rsidRPr="00B40718">
        <w:rPr>
          <w:rFonts w:eastAsia="Calibri" w:cs="Calibri"/>
          <w:lang w:eastAsia="it-IT"/>
        </w:rPr>
        <w:t>Hodgkin</w:t>
      </w:r>
      <w:proofErr w:type="spellEnd"/>
      <w:r w:rsidRPr="00B40718">
        <w:rPr>
          <w:rFonts w:eastAsia="Calibri" w:cs="Calibri"/>
          <w:lang w:eastAsia="it-IT"/>
        </w:rPr>
        <w:t xml:space="preserve">, leucemia linfatica cronica, morbo di </w:t>
      </w:r>
      <w:proofErr w:type="spellStart"/>
      <w:r w:rsidRPr="00B40718">
        <w:rPr>
          <w:rFonts w:eastAsia="Calibri" w:cs="Calibri"/>
          <w:lang w:eastAsia="it-IT"/>
        </w:rPr>
        <w:t>Waldenström</w:t>
      </w:r>
      <w:proofErr w:type="spellEnd"/>
      <w:r w:rsidRPr="00B40718">
        <w:rPr>
          <w:rFonts w:eastAsia="Calibri" w:cs="Calibri"/>
          <w:lang w:eastAsia="it-IT"/>
        </w:rPr>
        <w:t xml:space="preserve">, mieloma multiplo </w:t>
      </w:r>
    </w:p>
    <w:p w14:paraId="665B288F" w14:textId="70DACC6B"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 xml:space="preserve">Ipercalcemia nelle neoplasie maligne sottostanti </w:t>
      </w:r>
    </w:p>
    <w:p w14:paraId="665B2890" w14:textId="159CA9F9"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Profilassi e terapia del vomito indotto citostatico, uso in schemi antiemetici</w:t>
      </w:r>
    </w:p>
    <w:p w14:paraId="665B2891" w14:textId="77777777"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Terapia palliativa delle malattie maligne</w:t>
      </w:r>
    </w:p>
    <w:p w14:paraId="665B2892" w14:textId="77777777" w:rsidR="00B40718" w:rsidRPr="00B40718" w:rsidRDefault="00B40718" w:rsidP="00047CEA">
      <w:pPr>
        <w:pStyle w:val="Paragrafoelenco"/>
        <w:numPr>
          <w:ilvl w:val="0"/>
          <w:numId w:val="8"/>
        </w:numPr>
        <w:spacing w:after="0" w:line="240" w:lineRule="auto"/>
        <w:ind w:left="284" w:hanging="284"/>
        <w:jc w:val="both"/>
        <w:rPr>
          <w:rFonts w:eastAsia="Calibri" w:cs="Calibri"/>
          <w:lang w:eastAsia="it-IT"/>
        </w:rPr>
      </w:pPr>
      <w:r w:rsidRPr="00B40718">
        <w:rPr>
          <w:rFonts w:eastAsia="Calibri" w:cs="Calibri"/>
          <w:lang w:eastAsia="it-IT"/>
        </w:rPr>
        <w:t>Nota: il prednisone può essere usato per alleviare i sintomi, ad esempio inappetenza, anoressia e debolezza generale nelle neoplasie maligne avanzate, dopo che sono state esaurite le opzioni terapeutiche specifiche. Per maggiori dettagli consultare la letteratura medica corrente.</w:t>
      </w:r>
    </w:p>
    <w:p w14:paraId="665B2893"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665B2894" w14:textId="77777777" w:rsidR="00B40718" w:rsidRPr="00C15215" w:rsidRDefault="00B40718" w:rsidP="00B40718">
      <w:pPr>
        <w:autoSpaceDE w:val="0"/>
        <w:autoSpaceDN w:val="0"/>
        <w:adjustRightInd w:val="0"/>
        <w:spacing w:after="0" w:line="240" w:lineRule="auto"/>
        <w:jc w:val="both"/>
        <w:rPr>
          <w:rFonts w:eastAsia="Calibri" w:cs="Calibri"/>
          <w:b/>
          <w:bCs/>
          <w:lang w:eastAsia="it-IT"/>
        </w:rPr>
      </w:pPr>
      <w:r w:rsidRPr="00C15215">
        <w:rPr>
          <w:rFonts w:eastAsia="Calibri" w:cs="Calibri"/>
          <w:b/>
          <w:bCs/>
          <w:lang w:eastAsia="it-IT"/>
        </w:rPr>
        <w:t>Patologie del sistema nervoso:</w:t>
      </w:r>
    </w:p>
    <w:p w14:paraId="665B2895" w14:textId="77777777" w:rsidR="00B40718" w:rsidRPr="00B40718" w:rsidRDefault="00B40718" w:rsidP="00B40718">
      <w:pPr>
        <w:autoSpaceDE w:val="0"/>
        <w:autoSpaceDN w:val="0"/>
        <w:adjustRightInd w:val="0"/>
        <w:spacing w:after="0" w:line="240" w:lineRule="auto"/>
        <w:jc w:val="both"/>
        <w:rPr>
          <w:rFonts w:eastAsia="Calibri" w:cs="Calibri"/>
          <w:lang w:eastAsia="it-IT"/>
        </w:rPr>
      </w:pPr>
    </w:p>
    <w:p w14:paraId="517927D8" w14:textId="1A1EF542" w:rsidR="00C57D88" w:rsidRDefault="00B40718" w:rsidP="00B40718">
      <w:pPr>
        <w:autoSpaceDE w:val="0"/>
        <w:autoSpaceDN w:val="0"/>
        <w:adjustRightInd w:val="0"/>
        <w:spacing w:after="0" w:line="240" w:lineRule="auto"/>
        <w:jc w:val="both"/>
        <w:rPr>
          <w:rFonts w:eastAsia="Calibri" w:cs="Calibri"/>
          <w:lang w:eastAsia="it-IT"/>
        </w:rPr>
      </w:pPr>
      <w:r w:rsidRPr="00B40718">
        <w:rPr>
          <w:rFonts w:eastAsia="Calibri" w:cs="Calibri"/>
          <w:lang w:eastAsia="it-IT"/>
        </w:rPr>
        <w:t>•</w:t>
      </w:r>
      <w:r w:rsidRPr="00B40718">
        <w:rPr>
          <w:rFonts w:eastAsia="Calibri" w:cs="Calibri"/>
          <w:lang w:eastAsia="it-IT"/>
        </w:rPr>
        <w:tab/>
        <w:t xml:space="preserve">Miastenia grave (farmaco di prima scelta è </w:t>
      </w:r>
      <w:proofErr w:type="spellStart"/>
      <w:r w:rsidRPr="00B40718">
        <w:rPr>
          <w:rFonts w:eastAsia="Calibri" w:cs="Calibri"/>
          <w:lang w:eastAsia="it-IT"/>
        </w:rPr>
        <w:t>azatioprina</w:t>
      </w:r>
      <w:proofErr w:type="spellEnd"/>
      <w:r w:rsidRPr="00B40718">
        <w:rPr>
          <w:rFonts w:eastAsia="Calibri" w:cs="Calibri"/>
          <w:lang w:eastAsia="it-IT"/>
        </w:rPr>
        <w:t>)</w:t>
      </w:r>
    </w:p>
    <w:p w14:paraId="362A31C6" w14:textId="30B3A950" w:rsidR="00C57D88" w:rsidRPr="00C15215" w:rsidRDefault="00B40718"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 xml:space="preserve">Sindrome di </w:t>
      </w:r>
      <w:proofErr w:type="spellStart"/>
      <w:r w:rsidRPr="00C15215">
        <w:rPr>
          <w:rFonts w:eastAsia="Calibri" w:cs="Calibri"/>
          <w:lang w:eastAsia="it-IT"/>
        </w:rPr>
        <w:t>Guillain-Barré</w:t>
      </w:r>
      <w:proofErr w:type="spellEnd"/>
      <w:r w:rsidRPr="00C15215">
        <w:rPr>
          <w:rFonts w:eastAsia="Calibri" w:cs="Calibri"/>
          <w:lang w:eastAsia="it-IT"/>
        </w:rPr>
        <w:t xml:space="preserve"> cronica.</w:t>
      </w:r>
    </w:p>
    <w:p w14:paraId="366814AF" w14:textId="77732EB6" w:rsidR="00C57D88" w:rsidRPr="00C15215" w:rsidRDefault="00B40718"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Sindrome di Tolosa-</w:t>
      </w:r>
      <w:proofErr w:type="spellStart"/>
      <w:r w:rsidRPr="00C15215">
        <w:rPr>
          <w:rFonts w:eastAsia="Calibri" w:cs="Calibri"/>
          <w:lang w:eastAsia="it-IT"/>
        </w:rPr>
        <w:t>Hunt</w:t>
      </w:r>
      <w:proofErr w:type="spellEnd"/>
    </w:p>
    <w:p w14:paraId="485969D4" w14:textId="18D3F55B" w:rsidR="00C57D88" w:rsidRPr="00C15215" w:rsidRDefault="00B40718"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 xml:space="preserve">Polineuropatia in </w:t>
      </w:r>
      <w:proofErr w:type="spellStart"/>
      <w:r w:rsidRPr="00C15215">
        <w:rPr>
          <w:rFonts w:eastAsia="Calibri" w:cs="Calibri"/>
          <w:lang w:eastAsia="it-IT"/>
        </w:rPr>
        <w:t>gammopatia</w:t>
      </w:r>
      <w:proofErr w:type="spellEnd"/>
      <w:r w:rsidRPr="00C15215">
        <w:rPr>
          <w:rFonts w:eastAsia="Calibri" w:cs="Calibri"/>
          <w:lang w:eastAsia="it-IT"/>
        </w:rPr>
        <w:t xml:space="preserve"> monoclonale</w:t>
      </w:r>
    </w:p>
    <w:p w14:paraId="1C5001CC" w14:textId="167853A4" w:rsidR="00F67D94" w:rsidRPr="00C15215" w:rsidRDefault="00B40718"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 xml:space="preserve">Sclerosi multipla (diminuendo la dose gradualmente fino alla sospensione dopo aver somministrato </w:t>
      </w:r>
      <w:proofErr w:type="spellStart"/>
      <w:r w:rsidRPr="00C15215">
        <w:rPr>
          <w:rFonts w:eastAsia="Calibri" w:cs="Calibri"/>
          <w:lang w:eastAsia="it-IT"/>
        </w:rPr>
        <w:t>glucocorticoidi</w:t>
      </w:r>
      <w:proofErr w:type="spellEnd"/>
      <w:r w:rsidRPr="00C15215">
        <w:rPr>
          <w:rFonts w:eastAsia="Calibri" w:cs="Calibri"/>
          <w:lang w:eastAsia="it-IT"/>
        </w:rPr>
        <w:t xml:space="preserve"> ad alte dosi per via parenterale nella fase acuta)</w:t>
      </w:r>
    </w:p>
    <w:p w14:paraId="665B289B" w14:textId="77777777" w:rsidR="00B40718" w:rsidRPr="00C15215" w:rsidRDefault="00726D8B" w:rsidP="00C15215">
      <w:pPr>
        <w:pStyle w:val="Paragrafoelenco"/>
        <w:numPr>
          <w:ilvl w:val="0"/>
          <w:numId w:val="10"/>
        </w:numPr>
        <w:autoSpaceDE w:val="0"/>
        <w:autoSpaceDN w:val="0"/>
        <w:adjustRightInd w:val="0"/>
        <w:spacing w:after="0" w:line="240" w:lineRule="auto"/>
        <w:jc w:val="both"/>
        <w:rPr>
          <w:rFonts w:eastAsia="Calibri" w:cs="Calibri"/>
          <w:lang w:eastAsia="it-IT"/>
        </w:rPr>
      </w:pPr>
      <w:r w:rsidRPr="00C15215">
        <w:rPr>
          <w:rFonts w:eastAsia="Calibri" w:cs="Calibri"/>
          <w:lang w:eastAsia="it-IT"/>
        </w:rPr>
        <w:t>Sindrome di West</w:t>
      </w:r>
      <w:r w:rsidR="00B40718" w:rsidRPr="00C15215">
        <w:rPr>
          <w:rFonts w:eastAsia="Calibri" w:cs="Calibri"/>
          <w:lang w:eastAsia="it-IT"/>
        </w:rPr>
        <w:t xml:space="preserve"> (Spasmi infantili)</w:t>
      </w:r>
    </w:p>
    <w:p w14:paraId="665B289C" w14:textId="77777777" w:rsidR="00B40718" w:rsidRDefault="00B40718" w:rsidP="00B40718">
      <w:pPr>
        <w:pStyle w:val="Default"/>
        <w:ind w:left="284"/>
        <w:jc w:val="both"/>
        <w:rPr>
          <w:sz w:val="22"/>
          <w:szCs w:val="22"/>
        </w:rPr>
      </w:pPr>
    </w:p>
    <w:p w14:paraId="665B289D" w14:textId="77777777" w:rsidR="00B40718" w:rsidRDefault="00B40718" w:rsidP="00B40718">
      <w:pPr>
        <w:pStyle w:val="Default"/>
        <w:jc w:val="both"/>
        <w:rPr>
          <w:b/>
          <w:sz w:val="22"/>
          <w:szCs w:val="22"/>
        </w:rPr>
      </w:pPr>
      <w:r>
        <w:rPr>
          <w:b/>
          <w:sz w:val="22"/>
          <w:szCs w:val="22"/>
        </w:rPr>
        <w:t>Decorsi particolari di malattie infettive:</w:t>
      </w:r>
    </w:p>
    <w:p w14:paraId="665B289E" w14:textId="77777777" w:rsidR="00B40718" w:rsidRDefault="00B40718" w:rsidP="00B40718">
      <w:pPr>
        <w:pStyle w:val="Default"/>
        <w:jc w:val="both"/>
        <w:rPr>
          <w:b/>
          <w:sz w:val="22"/>
          <w:szCs w:val="22"/>
        </w:rPr>
      </w:pPr>
    </w:p>
    <w:p w14:paraId="665B289F" w14:textId="3631779F" w:rsidR="00B40718" w:rsidRDefault="00B40718" w:rsidP="00B40718">
      <w:pPr>
        <w:pStyle w:val="Paragrafoelenco"/>
        <w:numPr>
          <w:ilvl w:val="0"/>
          <w:numId w:val="8"/>
        </w:numPr>
        <w:spacing w:after="0" w:line="240" w:lineRule="auto"/>
        <w:ind w:left="284" w:hanging="284"/>
        <w:jc w:val="both"/>
        <w:rPr>
          <w:rFonts w:ascii="Times New Roman" w:hAnsi="Times New Roman" w:cs="Times New Roman"/>
        </w:rPr>
      </w:pPr>
      <w:r>
        <w:t>Condizioni tossiche associate a gravi malattie infettive (in associazione con antibiotici/chemioterapia), ad es. meningite tubercolare, tubercolosi polmonare grave</w:t>
      </w:r>
    </w:p>
    <w:p w14:paraId="665B28A0" w14:textId="77777777" w:rsidR="00B40718" w:rsidRDefault="00B40718" w:rsidP="00B40718">
      <w:pPr>
        <w:pStyle w:val="Default"/>
        <w:jc w:val="both"/>
        <w:rPr>
          <w:b/>
          <w:sz w:val="22"/>
          <w:szCs w:val="22"/>
        </w:rPr>
      </w:pPr>
    </w:p>
    <w:p w14:paraId="665B28A1" w14:textId="3154AEBC" w:rsidR="00B40718" w:rsidRDefault="00B40718" w:rsidP="00B40718">
      <w:pPr>
        <w:pStyle w:val="Default"/>
        <w:jc w:val="both"/>
        <w:rPr>
          <w:b/>
          <w:sz w:val="22"/>
          <w:szCs w:val="22"/>
        </w:rPr>
      </w:pPr>
      <w:r>
        <w:rPr>
          <w:b/>
          <w:sz w:val="22"/>
          <w:szCs w:val="22"/>
        </w:rPr>
        <w:t xml:space="preserve">Patologie degli occhi </w:t>
      </w:r>
    </w:p>
    <w:p w14:paraId="665B28A2" w14:textId="77777777" w:rsidR="00B40718" w:rsidRDefault="00B40718" w:rsidP="00B40718">
      <w:pPr>
        <w:pStyle w:val="Default"/>
        <w:jc w:val="both"/>
        <w:rPr>
          <w:b/>
          <w:sz w:val="22"/>
          <w:szCs w:val="22"/>
        </w:rPr>
      </w:pPr>
    </w:p>
    <w:p w14:paraId="665B28A3" w14:textId="77777777" w:rsidR="00B40718" w:rsidRDefault="00B40718" w:rsidP="00B40718">
      <w:pPr>
        <w:pStyle w:val="Paragrafoelenco"/>
        <w:numPr>
          <w:ilvl w:val="0"/>
          <w:numId w:val="8"/>
        </w:numPr>
        <w:spacing w:after="0" w:line="240" w:lineRule="auto"/>
        <w:ind w:left="284" w:hanging="284"/>
        <w:jc w:val="both"/>
        <w:rPr>
          <w:rFonts w:ascii="Times New Roman" w:hAnsi="Times New Roman" w:cs="Times New Roman"/>
        </w:rPr>
      </w:pPr>
      <w:r>
        <w:t xml:space="preserve">Nelle malattie sistemiche che coinvolgono l'occhio e nei processi immunologici nell'orbita e nell'occhio: neuropatia ottica (ad es. arterite a cellule giganti, neuropatia ottica ischemica anteriore (NOIA), neuropatia ottica traumatica), malattia di </w:t>
      </w:r>
      <w:proofErr w:type="spellStart"/>
      <w:r>
        <w:t>Behçet</w:t>
      </w:r>
      <w:proofErr w:type="spellEnd"/>
      <w:r>
        <w:t xml:space="preserve">, sarcoidosi, </w:t>
      </w:r>
      <w:proofErr w:type="spellStart"/>
      <w:r>
        <w:t>orbitopatia</w:t>
      </w:r>
      <w:proofErr w:type="spellEnd"/>
      <w:r>
        <w:t xml:space="preserve"> endocrina, </w:t>
      </w:r>
      <w:proofErr w:type="spellStart"/>
      <w:r>
        <w:t>pseudotumore</w:t>
      </w:r>
      <w:proofErr w:type="spellEnd"/>
      <w:r>
        <w:t xml:space="preserve"> dell'orbita, rigetto del trapianto e in alcune uveiti come la malattia di </w:t>
      </w:r>
      <w:proofErr w:type="spellStart"/>
      <w:r>
        <w:t>Harada</w:t>
      </w:r>
      <w:proofErr w:type="spellEnd"/>
      <w:r>
        <w:t xml:space="preserve"> e l'oftalmia simpatica</w:t>
      </w:r>
    </w:p>
    <w:p w14:paraId="665B28A4" w14:textId="77777777" w:rsidR="00B40718" w:rsidRDefault="00B40718" w:rsidP="00B40718">
      <w:pPr>
        <w:pStyle w:val="Paragrafoelenco"/>
        <w:numPr>
          <w:ilvl w:val="0"/>
          <w:numId w:val="8"/>
        </w:numPr>
        <w:spacing w:after="0" w:line="240" w:lineRule="auto"/>
        <w:ind w:left="284" w:hanging="284"/>
        <w:jc w:val="both"/>
      </w:pPr>
      <w:r>
        <w:t>La somministrazione sistemica è indicata solo dopo un trattamento locale infruttuoso nelle seguenti malattie: sclerite, episclerite, cheratite, ciclite cronica, uveite, congiuntivite allergica, ustioni chimiche da alcali, in associazione con terapia antimicrobica nella cheratite interstiziale autoimmune o associata alla sifilide, in cheratite stromale da herpes simplex solo se l'epitelio corneale è integro e controlli oculistici regolari</w:t>
      </w:r>
    </w:p>
    <w:p w14:paraId="665B28A5" w14:textId="77777777" w:rsidR="00B40718" w:rsidRDefault="00B40718" w:rsidP="00B40718">
      <w:pPr>
        <w:pStyle w:val="Default"/>
        <w:ind w:left="284"/>
        <w:jc w:val="both"/>
        <w:rPr>
          <w:sz w:val="22"/>
          <w:szCs w:val="22"/>
        </w:rPr>
      </w:pPr>
    </w:p>
    <w:p w14:paraId="665B28A6" w14:textId="77777777" w:rsidR="00B40718" w:rsidRDefault="00B40718" w:rsidP="00B40718">
      <w:pPr>
        <w:pStyle w:val="Default"/>
        <w:jc w:val="both"/>
        <w:rPr>
          <w:b/>
          <w:sz w:val="22"/>
          <w:szCs w:val="22"/>
        </w:rPr>
      </w:pPr>
      <w:r>
        <w:rPr>
          <w:b/>
          <w:sz w:val="22"/>
          <w:szCs w:val="22"/>
        </w:rPr>
        <w:t xml:space="preserve">Malattie gastrointestinali / patologie epatiche: </w:t>
      </w:r>
    </w:p>
    <w:p w14:paraId="665B28A7" w14:textId="18C0255C" w:rsidR="00B40718" w:rsidRDefault="00B40718" w:rsidP="00B40718">
      <w:pPr>
        <w:pStyle w:val="Paragrafoelenco"/>
        <w:numPr>
          <w:ilvl w:val="0"/>
          <w:numId w:val="8"/>
        </w:numPr>
        <w:spacing w:after="0" w:line="240" w:lineRule="auto"/>
        <w:ind w:left="284" w:hanging="284"/>
        <w:jc w:val="both"/>
        <w:rPr>
          <w:rFonts w:ascii="Times New Roman" w:hAnsi="Times New Roman" w:cs="Times New Roman"/>
        </w:rPr>
      </w:pPr>
      <w:r>
        <w:t xml:space="preserve">Colite ulcerosa </w:t>
      </w:r>
    </w:p>
    <w:p w14:paraId="665B28A8" w14:textId="1E6603B4" w:rsidR="00B40718" w:rsidRDefault="00B40718" w:rsidP="00B40718">
      <w:pPr>
        <w:pStyle w:val="Paragrafoelenco"/>
        <w:numPr>
          <w:ilvl w:val="0"/>
          <w:numId w:val="8"/>
        </w:numPr>
        <w:spacing w:after="0" w:line="240" w:lineRule="auto"/>
        <w:ind w:left="284" w:hanging="284"/>
        <w:jc w:val="both"/>
      </w:pPr>
      <w:r>
        <w:t xml:space="preserve">Malattia di </w:t>
      </w:r>
      <w:proofErr w:type="spellStart"/>
      <w:r>
        <w:t>Crohn</w:t>
      </w:r>
      <w:proofErr w:type="spellEnd"/>
      <w:r>
        <w:t xml:space="preserve"> </w:t>
      </w:r>
    </w:p>
    <w:p w14:paraId="665B28A9" w14:textId="4AA8DC98" w:rsidR="00B40718" w:rsidRDefault="00B40718" w:rsidP="00B40718">
      <w:pPr>
        <w:pStyle w:val="Paragrafoelenco"/>
        <w:numPr>
          <w:ilvl w:val="0"/>
          <w:numId w:val="8"/>
        </w:numPr>
        <w:spacing w:after="0" w:line="240" w:lineRule="auto"/>
        <w:ind w:left="284" w:hanging="284"/>
        <w:jc w:val="both"/>
      </w:pPr>
      <w:r>
        <w:t xml:space="preserve">Epatite autoimmune </w:t>
      </w:r>
    </w:p>
    <w:p w14:paraId="665B28AA" w14:textId="4B2382A4" w:rsidR="00B40718" w:rsidRDefault="00B40718" w:rsidP="00B40718">
      <w:pPr>
        <w:pStyle w:val="Paragrafoelenco"/>
        <w:numPr>
          <w:ilvl w:val="0"/>
          <w:numId w:val="8"/>
        </w:numPr>
        <w:spacing w:after="0" w:line="240" w:lineRule="auto"/>
        <w:ind w:left="284" w:hanging="284"/>
        <w:jc w:val="both"/>
      </w:pPr>
      <w:r>
        <w:t xml:space="preserve">Ustione dell’esofago </w:t>
      </w:r>
    </w:p>
    <w:p w14:paraId="665B28AB" w14:textId="77777777" w:rsidR="00B40718" w:rsidRDefault="00B40718" w:rsidP="00B40718">
      <w:pPr>
        <w:pStyle w:val="Default"/>
        <w:jc w:val="both"/>
        <w:rPr>
          <w:b/>
          <w:sz w:val="22"/>
          <w:szCs w:val="22"/>
        </w:rPr>
      </w:pPr>
    </w:p>
    <w:p w14:paraId="665B28AC" w14:textId="77777777" w:rsidR="00B40718" w:rsidRDefault="00B40718" w:rsidP="00B40718">
      <w:pPr>
        <w:pStyle w:val="Default"/>
        <w:jc w:val="both"/>
        <w:rPr>
          <w:b/>
          <w:sz w:val="22"/>
          <w:szCs w:val="22"/>
        </w:rPr>
      </w:pPr>
      <w:r>
        <w:rPr>
          <w:b/>
          <w:sz w:val="22"/>
          <w:szCs w:val="22"/>
        </w:rPr>
        <w:t>Patologie renali:</w:t>
      </w:r>
    </w:p>
    <w:p w14:paraId="665B28AD" w14:textId="77777777" w:rsidR="00B40718" w:rsidRDefault="00B40718" w:rsidP="00B40718">
      <w:pPr>
        <w:pStyle w:val="Default"/>
        <w:jc w:val="both"/>
        <w:rPr>
          <w:b/>
          <w:sz w:val="22"/>
          <w:szCs w:val="22"/>
        </w:rPr>
      </w:pPr>
    </w:p>
    <w:p w14:paraId="665B28AE" w14:textId="2C57BC19" w:rsidR="00B40718" w:rsidRDefault="00B40718" w:rsidP="00B40718">
      <w:pPr>
        <w:pStyle w:val="Paragrafoelenco"/>
        <w:numPr>
          <w:ilvl w:val="0"/>
          <w:numId w:val="8"/>
        </w:numPr>
        <w:spacing w:after="0" w:line="240" w:lineRule="auto"/>
        <w:ind w:left="284" w:hanging="284"/>
        <w:jc w:val="both"/>
        <w:rPr>
          <w:rFonts w:ascii="Times New Roman" w:hAnsi="Times New Roman" w:cs="Times New Roman"/>
        </w:rPr>
      </w:pPr>
      <w:r>
        <w:t xml:space="preserve">Glomerulonefrite a lesioni minime </w:t>
      </w:r>
    </w:p>
    <w:p w14:paraId="665B28AF" w14:textId="410028B5" w:rsidR="00B40718" w:rsidRDefault="00B40718" w:rsidP="00B40718">
      <w:pPr>
        <w:pStyle w:val="Paragrafoelenco"/>
        <w:numPr>
          <w:ilvl w:val="0"/>
          <w:numId w:val="8"/>
        </w:numPr>
        <w:spacing w:after="0" w:line="240" w:lineRule="auto"/>
        <w:ind w:left="284" w:hanging="284"/>
        <w:jc w:val="both"/>
      </w:pPr>
      <w:r>
        <w:t>Glomerulonefrite proliferativa-</w:t>
      </w:r>
      <w:proofErr w:type="spellStart"/>
      <w:r>
        <w:t>extracapillare</w:t>
      </w:r>
      <w:proofErr w:type="spellEnd"/>
      <w:r>
        <w:t xml:space="preserve"> (glomerulonefrite rapidamente progressiva) (terapia intermittente [</w:t>
      </w:r>
      <w:proofErr w:type="spellStart"/>
      <w:r>
        <w:rPr>
          <w:i/>
          <w:iCs/>
        </w:rPr>
        <w:t>pulse</w:t>
      </w:r>
      <w:proofErr w:type="spellEnd"/>
      <w:r>
        <w:rPr>
          <w:i/>
          <w:iCs/>
        </w:rPr>
        <w:t xml:space="preserve"> </w:t>
      </w:r>
      <w:proofErr w:type="spellStart"/>
      <w:r>
        <w:rPr>
          <w:i/>
          <w:iCs/>
        </w:rPr>
        <w:t>therapy</w:t>
      </w:r>
      <w:proofErr w:type="spellEnd"/>
      <w:r>
        <w:t xml:space="preserve">] ad alto dosaggio, di regola in associazione con agenti citostatici), nella sindrome di </w:t>
      </w:r>
      <w:proofErr w:type="spellStart"/>
      <w:r>
        <w:t>Goodpasture</w:t>
      </w:r>
      <w:proofErr w:type="spellEnd"/>
      <w:r>
        <w:t xml:space="preserve"> riduzione e interruzione del trattamento, in tutte le altre forme di continuazione a lungo termine della terapia </w:t>
      </w:r>
    </w:p>
    <w:p w14:paraId="665B28B0" w14:textId="3E2690A7" w:rsidR="00B40718" w:rsidRPr="00A74DB1" w:rsidRDefault="00B40718" w:rsidP="00A74DB1">
      <w:pPr>
        <w:pStyle w:val="Paragrafoelenco"/>
        <w:numPr>
          <w:ilvl w:val="0"/>
          <w:numId w:val="8"/>
        </w:numPr>
        <w:spacing w:after="0" w:line="240" w:lineRule="auto"/>
        <w:ind w:left="284" w:hanging="284"/>
        <w:jc w:val="both"/>
      </w:pPr>
      <w:r>
        <w:t xml:space="preserve">Fibrosi retroperitoneale idiopatica </w:t>
      </w:r>
    </w:p>
    <w:p w14:paraId="665B28B1" w14:textId="77777777" w:rsidR="00BB2AF8" w:rsidRDefault="00BB2AF8" w:rsidP="00BB2AF8">
      <w:pPr>
        <w:autoSpaceDE w:val="0"/>
        <w:autoSpaceDN w:val="0"/>
        <w:adjustRightInd w:val="0"/>
        <w:spacing w:after="0" w:line="240" w:lineRule="auto"/>
        <w:jc w:val="both"/>
        <w:rPr>
          <w:rFonts w:eastAsia="Calibri" w:cs="Calibri"/>
          <w:b/>
          <w:bCs/>
          <w:color w:val="000000"/>
          <w:szCs w:val="24"/>
          <w:lang w:eastAsia="it-IT"/>
        </w:rPr>
      </w:pPr>
    </w:p>
    <w:p w14:paraId="665B28B2" w14:textId="77777777" w:rsidR="00BB2AF8" w:rsidRPr="003F739B" w:rsidRDefault="00BB2AF8" w:rsidP="00BB2AF8">
      <w:pPr>
        <w:autoSpaceDE w:val="0"/>
        <w:autoSpaceDN w:val="0"/>
        <w:adjustRightInd w:val="0"/>
        <w:spacing w:after="0" w:line="240" w:lineRule="auto"/>
        <w:jc w:val="both"/>
        <w:rPr>
          <w:rFonts w:eastAsia="Calibri" w:cs="Calibri"/>
          <w:b/>
          <w:bCs/>
          <w:color w:val="000000"/>
          <w:lang w:eastAsia="it-IT"/>
        </w:rPr>
      </w:pPr>
    </w:p>
    <w:p w14:paraId="665B28B3" w14:textId="709A758E" w:rsidR="00BB2AF8" w:rsidRPr="003F739B" w:rsidRDefault="00BB2AF8" w:rsidP="001C15DF">
      <w:pPr>
        <w:autoSpaceDE w:val="0"/>
        <w:autoSpaceDN w:val="0"/>
        <w:adjustRightInd w:val="0"/>
        <w:spacing w:after="0" w:line="240" w:lineRule="auto"/>
        <w:jc w:val="both"/>
        <w:rPr>
          <w:rFonts w:eastAsia="Calibri" w:cs="Calibri"/>
          <w:color w:val="000000"/>
          <w:lang w:eastAsia="it-IT"/>
        </w:rPr>
      </w:pPr>
      <w:r w:rsidRPr="00A74DB1">
        <w:rPr>
          <w:rFonts w:eastAsia="Calibri" w:cs="Calibri"/>
          <w:b/>
          <w:bCs/>
          <w:color w:val="000000"/>
          <w:lang w:eastAsia="it-IT"/>
        </w:rPr>
        <w:t xml:space="preserve">2) COME </w:t>
      </w:r>
      <w:r w:rsidR="00FE31AA" w:rsidRPr="00A74DB1">
        <w:rPr>
          <w:rFonts w:eastAsia="Calibri" w:cs="Calibri"/>
          <w:b/>
          <w:bCs/>
          <w:color w:val="000000"/>
          <w:lang w:eastAsia="it-IT"/>
        </w:rPr>
        <w:t>È</w:t>
      </w:r>
      <w:r w:rsidRPr="00A74DB1">
        <w:rPr>
          <w:rFonts w:eastAsia="Calibri" w:cs="Calibri"/>
          <w:b/>
          <w:bCs/>
          <w:color w:val="000000"/>
          <w:lang w:eastAsia="it-IT"/>
        </w:rPr>
        <w:t xml:space="preserve"> PRESCRITTO/USATO </w:t>
      </w:r>
      <w:r w:rsidR="009D775A">
        <w:rPr>
          <w:rFonts w:eastAsia="Calibri" w:cs="Calibri"/>
          <w:b/>
          <w:color w:val="000000"/>
          <w:lang w:eastAsia="it-IT"/>
        </w:rPr>
        <w:t>VAPREDIS</w:t>
      </w:r>
      <w:r w:rsidRPr="00A74DB1">
        <w:rPr>
          <w:rFonts w:eastAsia="Calibri" w:cs="Calibri"/>
          <w:b/>
          <w:bCs/>
          <w:color w:val="000000"/>
          <w:lang w:eastAsia="it-IT"/>
        </w:rPr>
        <w:t>?</w:t>
      </w:r>
    </w:p>
    <w:p w14:paraId="665B28B4" w14:textId="48237279" w:rsidR="00300BEA" w:rsidRDefault="009D775A" w:rsidP="001C15DF">
      <w:pPr>
        <w:pStyle w:val="PreformattatoHTML"/>
        <w:jc w:val="both"/>
        <w:rPr>
          <w:rFonts w:asciiTheme="minorHAnsi" w:eastAsia="Calibri" w:hAnsiTheme="minorHAnsi" w:cs="Calibri"/>
          <w:color w:val="000000"/>
          <w:sz w:val="22"/>
          <w:szCs w:val="22"/>
        </w:rPr>
      </w:pPr>
      <w:r>
        <w:rPr>
          <w:rFonts w:asciiTheme="minorHAnsi" w:eastAsia="Calibri" w:hAnsiTheme="minorHAnsi" w:cs="Calibri"/>
          <w:color w:val="000000"/>
          <w:sz w:val="22"/>
          <w:szCs w:val="22"/>
        </w:rPr>
        <w:t>VAPREDIS</w:t>
      </w:r>
      <w:r w:rsidR="00300BEA" w:rsidRPr="001C15DF">
        <w:rPr>
          <w:rFonts w:asciiTheme="minorHAnsi" w:eastAsia="Calibri" w:hAnsiTheme="minorHAnsi" w:cs="Calibri"/>
          <w:color w:val="000000"/>
          <w:sz w:val="22"/>
          <w:szCs w:val="22"/>
        </w:rPr>
        <w:t xml:space="preserve"> </w:t>
      </w:r>
      <w:r w:rsidR="00BB2AF8" w:rsidRPr="001C15DF">
        <w:rPr>
          <w:rFonts w:asciiTheme="minorHAnsi" w:eastAsia="Calibri" w:hAnsiTheme="minorHAnsi" w:cs="Calibri"/>
          <w:color w:val="000000"/>
          <w:sz w:val="22"/>
          <w:szCs w:val="22"/>
        </w:rPr>
        <w:t xml:space="preserve">può essere ottenuto </w:t>
      </w:r>
      <w:r w:rsidR="00300BEA" w:rsidRPr="001C15DF">
        <w:rPr>
          <w:rFonts w:asciiTheme="minorHAnsi" w:eastAsia="Calibri" w:hAnsiTheme="minorHAnsi" w:cs="Calibri"/>
          <w:color w:val="000000"/>
          <w:sz w:val="22"/>
          <w:szCs w:val="22"/>
        </w:rPr>
        <w:t>solo su prescrizione da parte del medico (ricetta ripetibile</w:t>
      </w:r>
      <w:r w:rsidR="00F04CA3">
        <w:rPr>
          <w:rFonts w:asciiTheme="minorHAnsi" w:eastAsia="Calibri" w:hAnsiTheme="minorHAnsi" w:cs="Calibri"/>
          <w:color w:val="000000"/>
          <w:sz w:val="22"/>
          <w:szCs w:val="22"/>
        </w:rPr>
        <w:t>).</w:t>
      </w:r>
    </w:p>
    <w:p w14:paraId="665B28B5" w14:textId="77777777" w:rsidR="00E23752" w:rsidRPr="001C15DF" w:rsidRDefault="00E23752" w:rsidP="001C15DF">
      <w:pPr>
        <w:pStyle w:val="PreformattatoHTML"/>
        <w:jc w:val="both"/>
        <w:rPr>
          <w:rFonts w:asciiTheme="minorHAnsi" w:eastAsia="Calibri" w:hAnsiTheme="minorHAnsi" w:cs="Calibri"/>
          <w:color w:val="000000"/>
          <w:sz w:val="22"/>
          <w:szCs w:val="22"/>
        </w:rPr>
      </w:pPr>
    </w:p>
    <w:p w14:paraId="665B28B6" w14:textId="77777777" w:rsidR="00E23752" w:rsidRPr="00E23752" w:rsidRDefault="00E23752" w:rsidP="00E23752">
      <w:pPr>
        <w:pStyle w:val="PreformattatoHTML"/>
        <w:jc w:val="both"/>
        <w:rPr>
          <w:rFonts w:asciiTheme="minorHAnsi" w:eastAsia="Calibri" w:hAnsiTheme="minorHAnsi" w:cs="Calibri"/>
          <w:color w:val="000000"/>
          <w:sz w:val="22"/>
          <w:szCs w:val="22"/>
        </w:rPr>
      </w:pPr>
      <w:r w:rsidRPr="00E23752">
        <w:rPr>
          <w:rFonts w:asciiTheme="minorHAnsi" w:eastAsia="Calibri" w:hAnsiTheme="minorHAnsi" w:cs="Calibri"/>
          <w:color w:val="000000"/>
          <w:sz w:val="22"/>
          <w:szCs w:val="22"/>
        </w:rPr>
        <w:t>In generale viene assunta l’intera dose giornaliera al mattino presto fra le ore 6 e le 8. Dosi giornaliere elevate possono essere suddivise, a seconda della malattia, anche in 2-4 somministrazioni singole, le dosi medie in 2-3 somministrazioni singole.</w:t>
      </w:r>
    </w:p>
    <w:p w14:paraId="665B28B7" w14:textId="77777777" w:rsidR="001C15DF" w:rsidRPr="001C15DF" w:rsidRDefault="001C15DF" w:rsidP="001C15DF">
      <w:pPr>
        <w:pStyle w:val="PreformattatoHTML"/>
        <w:jc w:val="both"/>
        <w:rPr>
          <w:rFonts w:asciiTheme="minorHAnsi" w:eastAsia="Calibri" w:hAnsiTheme="minorHAnsi" w:cs="Calibri"/>
          <w:color w:val="000000"/>
          <w:sz w:val="22"/>
          <w:szCs w:val="22"/>
        </w:rPr>
      </w:pPr>
    </w:p>
    <w:p w14:paraId="665B28B8" w14:textId="77777777" w:rsidR="00AB7B01" w:rsidRPr="00AB7B01" w:rsidRDefault="00AB7B01" w:rsidP="00AB7B01">
      <w:pPr>
        <w:pStyle w:val="Corpotesto"/>
        <w:jc w:val="both"/>
        <w:rPr>
          <w:rFonts w:asciiTheme="minorHAnsi" w:eastAsia="Calibri" w:hAnsiTheme="minorHAnsi" w:cs="Calibri"/>
          <w:color w:val="000000"/>
          <w:lang w:eastAsia="it-IT"/>
        </w:rPr>
      </w:pPr>
      <w:r w:rsidRPr="00AB7B01">
        <w:rPr>
          <w:rFonts w:asciiTheme="minorHAnsi" w:eastAsia="Calibri" w:hAnsiTheme="minorHAnsi" w:cs="Calibri"/>
          <w:color w:val="000000"/>
          <w:lang w:eastAsia="it-IT"/>
        </w:rPr>
        <w:t>Il dosaggio dipende dal tipo e dalla gravità della patologia e dalla risposta individuale di ciascun paziente. In generale vengono utilizzate dosi iniziali relativamente alte, che devono essere chiaramente più elevate nei decorsi acuti gravi rispetto alle patologie croniche. A seconda dei sintomi clinici e alla risposta si può ridurre con velocità differente alla più bassa dose di mantenimento possibile (in generale fra 5 e 15 mg di prednisone al giorno).</w:t>
      </w:r>
    </w:p>
    <w:p w14:paraId="665B28B9" w14:textId="687BB001" w:rsidR="001C15DF" w:rsidRPr="00AB7B01" w:rsidRDefault="00AB7B01" w:rsidP="00AB7B01">
      <w:pPr>
        <w:tabs>
          <w:tab w:val="left" w:pos="0"/>
        </w:tabs>
        <w:spacing w:after="0" w:line="240" w:lineRule="auto"/>
        <w:jc w:val="both"/>
        <w:rPr>
          <w:rFonts w:eastAsia="Calibri" w:cs="Calibri"/>
          <w:color w:val="000000"/>
          <w:lang w:eastAsia="it-IT"/>
        </w:rPr>
      </w:pPr>
      <w:r w:rsidRPr="00AB7B01">
        <w:rPr>
          <w:rFonts w:eastAsia="Calibri" w:cs="Calibri"/>
          <w:color w:val="000000"/>
          <w:lang w:eastAsia="it-IT"/>
        </w:rPr>
        <w:t>In modo particolare nelle patologie croniche è spesso necessario un trattamento a lungo termine con basse dosi di mantenimento</w:t>
      </w:r>
      <w:r w:rsidR="00B07638">
        <w:rPr>
          <w:rFonts w:eastAsia="Calibri" w:cs="Calibri"/>
          <w:color w:val="000000"/>
          <w:lang w:eastAsia="it-IT"/>
        </w:rPr>
        <w:t>.</w:t>
      </w:r>
    </w:p>
    <w:p w14:paraId="665B28BA" w14:textId="77777777" w:rsidR="008A6FEC" w:rsidRPr="00AB7B01" w:rsidRDefault="008A6FEC" w:rsidP="00BB2AF8">
      <w:pPr>
        <w:tabs>
          <w:tab w:val="left" w:pos="0"/>
        </w:tabs>
        <w:spacing w:after="0" w:line="240" w:lineRule="auto"/>
        <w:jc w:val="both"/>
        <w:rPr>
          <w:rFonts w:eastAsia="Calibri" w:cs="Calibri"/>
          <w:color w:val="000000"/>
          <w:lang w:eastAsia="it-IT"/>
        </w:rPr>
      </w:pPr>
    </w:p>
    <w:p w14:paraId="665B28BB" w14:textId="77777777" w:rsidR="00E23752" w:rsidRPr="00E23752" w:rsidRDefault="00E23752" w:rsidP="00E23752">
      <w:pPr>
        <w:pStyle w:val="Corpotesto"/>
        <w:jc w:val="both"/>
        <w:rPr>
          <w:rFonts w:asciiTheme="minorHAnsi" w:eastAsia="Calibri" w:hAnsiTheme="minorHAnsi" w:cs="Calibri"/>
          <w:color w:val="000000"/>
          <w:lang w:eastAsia="it-IT"/>
        </w:rPr>
      </w:pPr>
      <w:r w:rsidRPr="00E23752">
        <w:rPr>
          <w:rFonts w:asciiTheme="minorHAnsi" w:eastAsia="Calibri" w:hAnsiTheme="minorHAnsi" w:cs="Calibri"/>
          <w:color w:val="000000"/>
          <w:lang w:eastAsia="it-IT"/>
        </w:rPr>
        <w:t>In caso di ipotiroidismo o cirrosi epatica, può essere necessaria una riduzione della dose.</w:t>
      </w:r>
    </w:p>
    <w:p w14:paraId="665B28BC" w14:textId="724B3DF7" w:rsidR="00E23752" w:rsidRDefault="009D775A" w:rsidP="00E23752">
      <w:pPr>
        <w:pStyle w:val="Corpotesto"/>
        <w:jc w:val="both"/>
        <w:rPr>
          <w:rFonts w:asciiTheme="minorHAnsi" w:eastAsia="Calibri" w:hAnsiTheme="minorHAnsi" w:cs="Calibri"/>
          <w:color w:val="000000"/>
          <w:lang w:eastAsia="it-IT"/>
        </w:rPr>
      </w:pPr>
      <w:r>
        <w:rPr>
          <w:rFonts w:asciiTheme="minorHAnsi" w:eastAsia="Calibri" w:hAnsiTheme="minorHAnsi" w:cs="Calibri"/>
          <w:color w:val="000000"/>
          <w:lang w:eastAsia="it-IT"/>
        </w:rPr>
        <w:t>VAPREDIS</w:t>
      </w:r>
      <w:r w:rsidR="00E23752" w:rsidRPr="00E23752">
        <w:rPr>
          <w:rFonts w:asciiTheme="minorHAnsi" w:eastAsia="Calibri" w:hAnsiTheme="minorHAnsi" w:cs="Calibri"/>
          <w:color w:val="000000"/>
          <w:lang w:eastAsia="it-IT"/>
        </w:rPr>
        <w:t xml:space="preserve"> deve essere usato nei bambini solo in caso di effettiva necessità e sotto il controllo del medico a causa del rischio di inibizione della crescita che deve essere controllata regolarmente. La terapia con </w:t>
      </w:r>
      <w:r>
        <w:rPr>
          <w:rFonts w:asciiTheme="minorHAnsi" w:eastAsia="Calibri" w:hAnsiTheme="minorHAnsi" w:cs="Calibri"/>
          <w:color w:val="000000"/>
          <w:lang w:eastAsia="it-IT"/>
        </w:rPr>
        <w:t>VAPREDIS</w:t>
      </w:r>
      <w:r w:rsidR="00E23752" w:rsidRPr="00E23752">
        <w:rPr>
          <w:rFonts w:asciiTheme="minorHAnsi" w:eastAsia="Calibri" w:hAnsiTheme="minorHAnsi" w:cs="Calibri"/>
          <w:color w:val="000000"/>
          <w:lang w:eastAsia="it-IT"/>
        </w:rPr>
        <w:t xml:space="preserve"> deve essere limitata nel tempo o somministrata in modo il più possibile alternato o intermittente e comunque in relazione al peso</w:t>
      </w:r>
      <w:r w:rsidR="00E23752">
        <w:rPr>
          <w:rFonts w:asciiTheme="minorHAnsi" w:eastAsia="Calibri" w:hAnsiTheme="minorHAnsi" w:cs="Calibri"/>
          <w:color w:val="000000"/>
          <w:lang w:eastAsia="it-IT"/>
        </w:rPr>
        <w:t>.</w:t>
      </w:r>
    </w:p>
    <w:p w14:paraId="665B28BE" w14:textId="3479838A" w:rsidR="00C77C09" w:rsidRPr="00C77C09" w:rsidRDefault="00E23752" w:rsidP="00C15215">
      <w:pPr>
        <w:rPr>
          <w:rFonts w:eastAsia="Calibri" w:cs="Verdana"/>
          <w:color w:val="000000"/>
          <w:lang w:eastAsia="it-IT"/>
        </w:rPr>
      </w:pPr>
      <w:r w:rsidRPr="00E23752">
        <w:rPr>
          <w:rFonts w:eastAsia="Calibri" w:cs="Calibri"/>
          <w:color w:val="000000"/>
          <w:lang w:eastAsia="it-IT"/>
        </w:rPr>
        <w:lastRenderedPageBreak/>
        <w:t xml:space="preserve">Siccome i pazienti anziani hanno un maggiore rischio di osteoporosi, il rapporto fra vantaggi e rischi di una terapia con </w:t>
      </w:r>
      <w:r w:rsidR="009D775A">
        <w:rPr>
          <w:rFonts w:eastAsia="Calibri" w:cs="Calibri"/>
          <w:color w:val="000000"/>
          <w:lang w:eastAsia="it-IT"/>
        </w:rPr>
        <w:t>VAPREDIS</w:t>
      </w:r>
      <w:r w:rsidRPr="00E23752">
        <w:rPr>
          <w:rFonts w:eastAsia="Calibri" w:cs="Calibri"/>
          <w:color w:val="000000"/>
          <w:lang w:eastAsia="it-IT"/>
        </w:rPr>
        <w:t xml:space="preserve"> deve essere valutato accuratamente.</w:t>
      </w:r>
    </w:p>
    <w:p w14:paraId="665B28BF" w14:textId="77777777" w:rsidR="00C77C09" w:rsidRPr="00C77C09" w:rsidRDefault="00C77C09" w:rsidP="00C77C09">
      <w:pPr>
        <w:autoSpaceDE w:val="0"/>
        <w:autoSpaceDN w:val="0"/>
        <w:adjustRightInd w:val="0"/>
        <w:spacing w:after="0" w:line="240" w:lineRule="auto"/>
        <w:jc w:val="both"/>
        <w:rPr>
          <w:rFonts w:eastAsia="Calibri" w:cs="Verdana"/>
          <w:color w:val="000000"/>
          <w:lang w:eastAsia="it-IT"/>
        </w:rPr>
      </w:pPr>
      <w:r w:rsidRPr="00C77C09">
        <w:rPr>
          <w:rFonts w:eastAsia="Calibri" w:cs="Verdana"/>
          <w:color w:val="000000"/>
          <w:lang w:eastAsia="it-IT"/>
        </w:rPr>
        <w:t>Le compresse vengono assunte intere durante o dopo i pasti, principalmente dopo colazione, con sufficiente liquido.</w:t>
      </w:r>
      <w:r>
        <w:rPr>
          <w:rFonts w:eastAsia="Calibri" w:cs="Verdana"/>
          <w:color w:val="000000"/>
          <w:lang w:eastAsia="it-IT"/>
        </w:rPr>
        <w:t xml:space="preserve"> </w:t>
      </w:r>
      <w:r w:rsidRPr="00731DE8">
        <w:t>Le compresse possono essere divise in dosi uguali</w:t>
      </w:r>
      <w:r>
        <w:t>.</w:t>
      </w:r>
    </w:p>
    <w:p w14:paraId="665B28C0" w14:textId="178E9C5D" w:rsidR="00BB2AF8" w:rsidRDefault="00C77C09" w:rsidP="00C77C09">
      <w:pPr>
        <w:autoSpaceDE w:val="0"/>
        <w:autoSpaceDN w:val="0"/>
        <w:adjustRightInd w:val="0"/>
        <w:spacing w:after="0" w:line="240" w:lineRule="auto"/>
        <w:jc w:val="both"/>
        <w:rPr>
          <w:rFonts w:eastAsia="Calibri" w:cs="Verdana"/>
          <w:color w:val="000000"/>
          <w:lang w:eastAsia="it-IT"/>
        </w:rPr>
      </w:pPr>
      <w:r w:rsidRPr="00C77C09">
        <w:rPr>
          <w:rFonts w:eastAsia="Calibri" w:cs="Verdana"/>
          <w:color w:val="000000"/>
          <w:lang w:eastAsia="it-IT"/>
        </w:rPr>
        <w:t xml:space="preserve">Nella terapia farmacologica con </w:t>
      </w:r>
      <w:r w:rsidR="009D775A">
        <w:rPr>
          <w:rFonts w:eastAsia="Calibri" w:cs="Verdana"/>
          <w:color w:val="000000"/>
          <w:lang w:eastAsia="it-IT"/>
        </w:rPr>
        <w:t>VAPREDIS</w:t>
      </w:r>
      <w:r w:rsidRPr="00C77C09">
        <w:rPr>
          <w:rFonts w:eastAsia="Calibri" w:cs="Verdana"/>
          <w:color w:val="000000"/>
          <w:lang w:eastAsia="it-IT"/>
        </w:rPr>
        <w:t>, deve essere considerato se è possibile la somministrazione alternata del medicinale. A seconda della patologia di base da trattare, una volta ottenuto un risultato soddisfacente del trattamento, la dose viene ridotta fino alla dose di mantenimento ritenuta necessaria o interrotta, controllando l’asse ipotalamo ipofisi surrene se necessario.</w:t>
      </w:r>
    </w:p>
    <w:p w14:paraId="665B28C1" w14:textId="77777777" w:rsidR="00C77C09" w:rsidRDefault="00C77C09" w:rsidP="00C77C09">
      <w:pPr>
        <w:autoSpaceDE w:val="0"/>
        <w:autoSpaceDN w:val="0"/>
        <w:adjustRightInd w:val="0"/>
        <w:spacing w:after="0" w:line="240" w:lineRule="auto"/>
        <w:jc w:val="both"/>
        <w:rPr>
          <w:rFonts w:eastAsia="Calibri" w:cs="Verdana"/>
          <w:color w:val="000000"/>
          <w:lang w:eastAsia="it-IT"/>
        </w:rPr>
      </w:pPr>
    </w:p>
    <w:p w14:paraId="665B28C2" w14:textId="1553E0EB" w:rsidR="00BB2AF8" w:rsidRPr="004B4170" w:rsidRDefault="00BB2AF8" w:rsidP="00BB2AF8">
      <w:pPr>
        <w:autoSpaceDE w:val="0"/>
        <w:autoSpaceDN w:val="0"/>
        <w:adjustRightInd w:val="0"/>
        <w:spacing w:after="0" w:line="240" w:lineRule="auto"/>
        <w:jc w:val="both"/>
        <w:rPr>
          <w:rFonts w:eastAsia="Calibri" w:cs="Calibri"/>
          <w:color w:val="000000"/>
          <w:lang w:eastAsia="it-IT"/>
        </w:rPr>
      </w:pPr>
      <w:r w:rsidRPr="00C77C09">
        <w:rPr>
          <w:rFonts w:eastAsia="Calibri" w:cs="Calibri"/>
          <w:b/>
          <w:bCs/>
          <w:color w:val="000000"/>
          <w:lang w:eastAsia="it-IT"/>
        </w:rPr>
        <w:t xml:space="preserve">3) COME FUNZIONA </w:t>
      </w:r>
      <w:r w:rsidR="009D775A">
        <w:rPr>
          <w:rFonts w:eastAsia="Calibri" w:cs="Calibri"/>
          <w:b/>
          <w:color w:val="000000"/>
          <w:lang w:eastAsia="it-IT"/>
        </w:rPr>
        <w:t>VAPREDIS</w:t>
      </w:r>
      <w:r w:rsidRPr="00C77C09">
        <w:rPr>
          <w:rFonts w:eastAsia="Calibri" w:cs="Calibri"/>
          <w:b/>
          <w:bCs/>
          <w:color w:val="000000"/>
          <w:lang w:eastAsia="it-IT"/>
        </w:rPr>
        <w:t>?</w:t>
      </w:r>
      <w:r w:rsidRPr="004B4170">
        <w:rPr>
          <w:rFonts w:eastAsia="Calibri" w:cs="Calibri"/>
          <w:b/>
          <w:bCs/>
          <w:color w:val="000000"/>
          <w:lang w:eastAsia="it-IT"/>
        </w:rPr>
        <w:t xml:space="preserve"> </w:t>
      </w:r>
    </w:p>
    <w:p w14:paraId="665B28C3" w14:textId="65274602" w:rsidR="00BB2AF8" w:rsidRDefault="009D775A" w:rsidP="00C77C09">
      <w:pPr>
        <w:autoSpaceDE w:val="0"/>
        <w:autoSpaceDN w:val="0"/>
        <w:adjustRightInd w:val="0"/>
        <w:spacing w:after="0" w:line="240" w:lineRule="auto"/>
        <w:rPr>
          <w:rFonts w:eastAsia="Calibri" w:cs="Verdana"/>
          <w:color w:val="000000"/>
          <w:lang w:eastAsia="it-IT"/>
        </w:rPr>
      </w:pPr>
      <w:r>
        <w:rPr>
          <w:rFonts w:eastAsia="Calibri" w:cs="Verdana"/>
          <w:color w:val="000000"/>
          <w:lang w:eastAsia="it-IT"/>
        </w:rPr>
        <w:t>VAPREDIS</w:t>
      </w:r>
      <w:r w:rsidR="00BB2AF8" w:rsidRPr="00C77C09">
        <w:rPr>
          <w:rFonts w:eastAsia="Calibri" w:cs="Verdana"/>
          <w:color w:val="000000"/>
          <w:lang w:eastAsia="it-IT"/>
        </w:rPr>
        <w:t xml:space="preserve">, il cui codice ATC è </w:t>
      </w:r>
      <w:r w:rsidR="00BB74CD" w:rsidRPr="00C77C09">
        <w:rPr>
          <w:rFonts w:eastAsia="Calibri" w:cs="Verdana"/>
          <w:color w:val="000000"/>
          <w:lang w:eastAsia="it-IT"/>
        </w:rPr>
        <w:t>H02AB07</w:t>
      </w:r>
      <w:r w:rsidR="00BB2AF8" w:rsidRPr="00C77C09">
        <w:rPr>
          <w:rFonts w:eastAsia="Calibri" w:cs="Verdana"/>
          <w:color w:val="000000"/>
          <w:lang w:eastAsia="it-IT"/>
        </w:rPr>
        <w:t xml:space="preserve"> contiene il principio attivo </w:t>
      </w:r>
      <w:r w:rsidR="00BB74CD" w:rsidRPr="00C77C09">
        <w:rPr>
          <w:rFonts w:eastAsia="Calibri" w:cs="Verdana"/>
          <w:color w:val="000000"/>
          <w:lang w:eastAsia="it-IT"/>
        </w:rPr>
        <w:t>prednisone</w:t>
      </w:r>
      <w:r w:rsidR="00F96473" w:rsidRPr="00C77C09">
        <w:rPr>
          <w:rFonts w:eastAsia="Calibri" w:cs="Verdana"/>
          <w:color w:val="000000"/>
          <w:lang w:eastAsia="it-IT"/>
        </w:rPr>
        <w:t xml:space="preserve"> </w:t>
      </w:r>
      <w:r w:rsidR="00BB2AF8" w:rsidRPr="00C77C09">
        <w:rPr>
          <w:rFonts w:eastAsia="Calibri" w:cs="Verdana"/>
          <w:color w:val="000000"/>
          <w:lang w:eastAsia="it-IT"/>
        </w:rPr>
        <w:t xml:space="preserve">che appartiene alla classe dei </w:t>
      </w:r>
      <w:proofErr w:type="spellStart"/>
      <w:r w:rsidR="00C77C09" w:rsidRPr="00C77C09">
        <w:rPr>
          <w:rFonts w:eastAsia="Calibri" w:cs="Verdana"/>
          <w:color w:val="000000"/>
          <w:lang w:eastAsia="it-IT"/>
        </w:rPr>
        <w:t>glucocorticoid</w:t>
      </w:r>
      <w:r w:rsidR="00A11EA8">
        <w:rPr>
          <w:rFonts w:eastAsia="Calibri" w:cs="Verdana"/>
          <w:color w:val="000000"/>
          <w:lang w:eastAsia="it-IT"/>
        </w:rPr>
        <w:t>i</w:t>
      </w:r>
      <w:proofErr w:type="spellEnd"/>
      <w:r w:rsidR="00C77C09" w:rsidRPr="00C77C09">
        <w:rPr>
          <w:rFonts w:eastAsia="Calibri" w:cs="Verdana"/>
          <w:color w:val="000000"/>
          <w:lang w:eastAsia="it-IT"/>
        </w:rPr>
        <w:t xml:space="preserve"> (ormon</w:t>
      </w:r>
      <w:r w:rsidR="003F059C">
        <w:rPr>
          <w:rFonts w:eastAsia="Calibri" w:cs="Verdana"/>
          <w:color w:val="000000"/>
          <w:lang w:eastAsia="it-IT"/>
        </w:rPr>
        <w:t>i</w:t>
      </w:r>
      <w:r w:rsidR="00C77C09" w:rsidRPr="00C77C09">
        <w:rPr>
          <w:rFonts w:eastAsia="Calibri" w:cs="Verdana"/>
          <w:color w:val="000000"/>
          <w:lang w:eastAsia="it-IT"/>
        </w:rPr>
        <w:t xml:space="preserve"> prodott</w:t>
      </w:r>
      <w:r w:rsidR="003F059C">
        <w:rPr>
          <w:rFonts w:eastAsia="Calibri" w:cs="Verdana"/>
          <w:color w:val="000000"/>
          <w:lang w:eastAsia="it-IT"/>
        </w:rPr>
        <w:t>i</w:t>
      </w:r>
      <w:r w:rsidR="00C77C09" w:rsidRPr="00C77C09">
        <w:rPr>
          <w:rFonts w:eastAsia="Calibri" w:cs="Verdana"/>
          <w:color w:val="000000"/>
          <w:lang w:eastAsia="it-IT"/>
        </w:rPr>
        <w:t xml:space="preserve"> dalle ghiandole surrenali) con effetto sul metaboli</w:t>
      </w:r>
      <w:r w:rsidR="00C77C09">
        <w:rPr>
          <w:rFonts w:eastAsia="Calibri" w:cs="Verdana"/>
          <w:color w:val="000000"/>
          <w:lang w:eastAsia="it-IT"/>
        </w:rPr>
        <w:t xml:space="preserve">smo, sul bilancio elettrolitico (dei </w:t>
      </w:r>
      <w:r w:rsidR="00C77C09" w:rsidRPr="00C77C09">
        <w:rPr>
          <w:rFonts w:eastAsia="Calibri" w:cs="Verdana"/>
          <w:color w:val="000000"/>
          <w:lang w:eastAsia="it-IT"/>
        </w:rPr>
        <w:t>sali)</w:t>
      </w:r>
      <w:r w:rsidR="00C77C09">
        <w:rPr>
          <w:rFonts w:eastAsia="Calibri" w:cs="Verdana"/>
          <w:color w:val="000000"/>
          <w:lang w:eastAsia="it-IT"/>
        </w:rPr>
        <w:t xml:space="preserve"> </w:t>
      </w:r>
      <w:r w:rsidR="00C77C09" w:rsidRPr="00C77C09">
        <w:rPr>
          <w:rFonts w:eastAsia="Calibri" w:cs="Verdana"/>
          <w:color w:val="000000"/>
          <w:lang w:eastAsia="it-IT"/>
        </w:rPr>
        <w:t>e sulla funzionalità dei tessuti</w:t>
      </w:r>
      <w:r w:rsidR="00D108AA">
        <w:rPr>
          <w:rFonts w:eastAsia="Calibri" w:cs="Verdana"/>
          <w:color w:val="000000"/>
          <w:lang w:eastAsia="it-IT"/>
        </w:rPr>
        <w:t>.</w:t>
      </w:r>
    </w:p>
    <w:p w14:paraId="665B28C4" w14:textId="77777777" w:rsidR="00D108AA" w:rsidRPr="00C77C09" w:rsidRDefault="00D108AA" w:rsidP="00C77C09">
      <w:pPr>
        <w:autoSpaceDE w:val="0"/>
        <w:autoSpaceDN w:val="0"/>
        <w:adjustRightInd w:val="0"/>
        <w:spacing w:after="0" w:line="240" w:lineRule="auto"/>
        <w:rPr>
          <w:rFonts w:eastAsia="Calibri" w:cs="Verdana"/>
          <w:color w:val="000000"/>
          <w:lang w:eastAsia="it-IT"/>
        </w:rPr>
      </w:pPr>
    </w:p>
    <w:p w14:paraId="665B28C5" w14:textId="0AAC06D6" w:rsidR="00BB2AF8" w:rsidRDefault="00BB2AF8" w:rsidP="00C77C09">
      <w:pPr>
        <w:autoSpaceDE w:val="0"/>
        <w:autoSpaceDN w:val="0"/>
        <w:adjustRightInd w:val="0"/>
        <w:spacing w:after="0" w:line="240" w:lineRule="auto"/>
        <w:rPr>
          <w:rFonts w:eastAsia="Calibri" w:cs="Calibri"/>
          <w:b/>
          <w:bCs/>
          <w:lang w:eastAsia="it-IT"/>
        </w:rPr>
      </w:pPr>
      <w:r w:rsidRPr="003D4F6B">
        <w:rPr>
          <w:rFonts w:eastAsia="Calibri" w:cs="Calibri"/>
          <w:b/>
          <w:bCs/>
          <w:lang w:eastAsia="it-IT"/>
        </w:rPr>
        <w:t xml:space="preserve">4) COME È STATO STUDIATO </w:t>
      </w:r>
      <w:r w:rsidR="009D775A">
        <w:rPr>
          <w:rFonts w:eastAsia="Calibri" w:cs="Calibri"/>
          <w:b/>
          <w:color w:val="000000"/>
          <w:lang w:eastAsia="it-IT"/>
        </w:rPr>
        <w:t>VAPREDIS</w:t>
      </w:r>
      <w:r w:rsidRPr="003D4F6B">
        <w:rPr>
          <w:rFonts w:eastAsia="Calibri" w:cs="Calibri"/>
          <w:b/>
          <w:bCs/>
          <w:lang w:eastAsia="it-IT"/>
        </w:rPr>
        <w:t>?</w:t>
      </w:r>
      <w:r w:rsidRPr="004B4170">
        <w:rPr>
          <w:rFonts w:eastAsia="Calibri" w:cs="Calibri"/>
          <w:b/>
          <w:bCs/>
          <w:lang w:eastAsia="it-IT"/>
        </w:rPr>
        <w:t xml:space="preserve"> </w:t>
      </w:r>
    </w:p>
    <w:p w14:paraId="665B28C6" w14:textId="77777777" w:rsidR="002A1E23" w:rsidRDefault="002A1E23" w:rsidP="00F96473">
      <w:pPr>
        <w:spacing w:after="0" w:line="240" w:lineRule="auto"/>
        <w:jc w:val="both"/>
        <w:rPr>
          <w:rFonts w:eastAsia="Calibri" w:cs="Calibri"/>
          <w:color w:val="000000"/>
          <w:lang w:eastAsia="it-IT"/>
        </w:rPr>
      </w:pPr>
    </w:p>
    <w:p w14:paraId="665B28C7" w14:textId="57D5F09E" w:rsidR="00F96473" w:rsidRDefault="009D775A" w:rsidP="00F96473">
      <w:pPr>
        <w:spacing w:after="0" w:line="240" w:lineRule="auto"/>
        <w:jc w:val="both"/>
        <w:rPr>
          <w:rFonts w:ascii="Calibri" w:hAnsi="Calibri" w:cs="Arial"/>
        </w:rPr>
      </w:pPr>
      <w:r>
        <w:rPr>
          <w:rFonts w:eastAsia="Calibri" w:cs="Calibri"/>
          <w:color w:val="000000"/>
          <w:lang w:eastAsia="it-IT"/>
        </w:rPr>
        <w:t>VAPREDIS</w:t>
      </w:r>
      <w:r w:rsidR="002A1E23">
        <w:rPr>
          <w:rFonts w:eastAsia="Calibri" w:cs="Calibri"/>
          <w:color w:val="000000"/>
          <w:lang w:eastAsia="it-IT"/>
        </w:rPr>
        <w:t xml:space="preserve">, nel dosaggio da 5 mg e 20 mg, </w:t>
      </w:r>
      <w:r w:rsidR="00F96473" w:rsidRPr="00D85E7D">
        <w:rPr>
          <w:rFonts w:cs="Arial"/>
        </w:rPr>
        <w:t>è un medicinale generico</w:t>
      </w:r>
      <w:r w:rsidR="003C054E">
        <w:rPr>
          <w:rFonts w:cs="Arial"/>
        </w:rPr>
        <w:t xml:space="preserve">. </w:t>
      </w:r>
      <w:r w:rsidR="00C56FA9">
        <w:rPr>
          <w:rFonts w:cs="Arial"/>
        </w:rPr>
        <w:t xml:space="preserve">Poiché </w:t>
      </w:r>
      <w:r w:rsidR="00C56FA9" w:rsidRPr="009F5FC7">
        <w:rPr>
          <w:rFonts w:cs="Arial"/>
        </w:rPr>
        <w:t>il profilo di sicur</w:t>
      </w:r>
      <w:r w:rsidR="00C56FA9">
        <w:rPr>
          <w:rFonts w:cs="Arial"/>
        </w:rPr>
        <w:t>ezza e l’efficacia del principio</w:t>
      </w:r>
      <w:r w:rsidR="00C56FA9" w:rsidRPr="009F5FC7">
        <w:rPr>
          <w:rFonts w:cs="Arial"/>
        </w:rPr>
        <w:t xml:space="preserve"> attiv</w:t>
      </w:r>
      <w:r w:rsidR="00C56FA9">
        <w:rPr>
          <w:rFonts w:cs="Arial"/>
        </w:rPr>
        <w:t>o</w:t>
      </w:r>
      <w:r w:rsidR="00C56FA9" w:rsidRPr="009F5FC7">
        <w:rPr>
          <w:rFonts w:cs="Arial"/>
        </w:rPr>
        <w:t xml:space="preserve"> di </w:t>
      </w:r>
      <w:r>
        <w:rPr>
          <w:rFonts w:eastAsia="Calibri" w:cs="Calibri"/>
          <w:color w:val="000000"/>
          <w:lang w:eastAsia="it-IT"/>
        </w:rPr>
        <w:t>VAPREDIS</w:t>
      </w:r>
      <w:r w:rsidR="002A1E23">
        <w:rPr>
          <w:rFonts w:eastAsia="Calibri" w:cs="Calibri"/>
          <w:color w:val="000000"/>
          <w:lang w:eastAsia="it-IT"/>
        </w:rPr>
        <w:t xml:space="preserve"> </w:t>
      </w:r>
      <w:r w:rsidR="00C56FA9" w:rsidRPr="009F5FC7">
        <w:rPr>
          <w:rFonts w:cs="Arial"/>
        </w:rPr>
        <w:t>è ben conosciuto</w:t>
      </w:r>
      <w:r w:rsidR="00C56FA9">
        <w:rPr>
          <w:rFonts w:cs="Arial"/>
        </w:rPr>
        <w:t xml:space="preserve"> in quanto il medicinale di riferimento è autorizzato </w:t>
      </w:r>
      <w:r w:rsidR="00FB4181">
        <w:rPr>
          <w:rFonts w:cs="Arial"/>
        </w:rPr>
        <w:t xml:space="preserve">o è stato autorizzato </w:t>
      </w:r>
      <w:r w:rsidR="00C56FA9">
        <w:rPr>
          <w:rFonts w:cs="Arial"/>
        </w:rPr>
        <w:t xml:space="preserve">da </w:t>
      </w:r>
      <w:r w:rsidR="00FB4181">
        <w:rPr>
          <w:rFonts w:cs="Arial"/>
        </w:rPr>
        <w:t xml:space="preserve">almeno 8 </w:t>
      </w:r>
      <w:r w:rsidR="00C56FA9">
        <w:rPr>
          <w:rFonts w:cs="Arial"/>
        </w:rPr>
        <w:t>anni</w:t>
      </w:r>
      <w:r w:rsidR="00F67DFC">
        <w:rPr>
          <w:rFonts w:cs="Arial"/>
        </w:rPr>
        <w:t xml:space="preserve"> nell’Unione europea</w:t>
      </w:r>
      <w:r w:rsidR="00C56FA9">
        <w:rPr>
          <w:rFonts w:cs="Arial"/>
        </w:rPr>
        <w:t xml:space="preserve">, </w:t>
      </w:r>
      <w:r w:rsidR="00577DAC">
        <w:rPr>
          <w:rFonts w:cs="Arial"/>
        </w:rPr>
        <w:t xml:space="preserve">a supporto dell’efficacia e della sicurezza di </w:t>
      </w:r>
      <w:r>
        <w:rPr>
          <w:rFonts w:eastAsia="Calibri" w:cs="Calibri"/>
          <w:color w:val="000000"/>
          <w:lang w:eastAsia="it-IT"/>
        </w:rPr>
        <w:t>VAPREDIS</w:t>
      </w:r>
      <w:r w:rsidR="00577DAC">
        <w:rPr>
          <w:rFonts w:eastAsia="Calibri" w:cs="Calibri"/>
          <w:color w:val="000000"/>
          <w:lang w:eastAsia="it-IT"/>
        </w:rPr>
        <w:t xml:space="preserve"> </w:t>
      </w:r>
      <w:r w:rsidR="004E28E5">
        <w:rPr>
          <w:rFonts w:cs="Arial"/>
        </w:rPr>
        <w:t>sono state effettuate prove cliniche</w:t>
      </w:r>
      <w:r w:rsidR="00F96473" w:rsidRPr="00D85E7D">
        <w:rPr>
          <w:rFonts w:cs="Arial"/>
        </w:rPr>
        <w:t xml:space="preserve"> </w:t>
      </w:r>
      <w:r w:rsidR="003C054E">
        <w:rPr>
          <w:rFonts w:ascii="Calibri" w:hAnsi="Calibri" w:cs="Arial"/>
        </w:rPr>
        <w:t>di confronto con il medicinale di riferimento</w:t>
      </w:r>
      <w:r w:rsidR="003C054E" w:rsidRPr="00D85E7D">
        <w:rPr>
          <w:rFonts w:cs="Arial"/>
        </w:rPr>
        <w:t xml:space="preserve"> </w:t>
      </w:r>
      <w:r w:rsidR="00F96473" w:rsidRPr="00D85E7D">
        <w:rPr>
          <w:rFonts w:cs="Arial"/>
        </w:rPr>
        <w:t>per determinare</w:t>
      </w:r>
      <w:r w:rsidR="00F96473" w:rsidRPr="00D85E7D">
        <w:rPr>
          <w:rFonts w:cs="Arial"/>
          <w:b/>
        </w:rPr>
        <w:t xml:space="preserve"> </w:t>
      </w:r>
      <w:r w:rsidR="00F96473" w:rsidRPr="00D85E7D">
        <w:rPr>
          <w:rFonts w:cs="Arial"/>
        </w:rPr>
        <w:t xml:space="preserve">la </w:t>
      </w:r>
      <w:proofErr w:type="spellStart"/>
      <w:r w:rsidR="00F96473" w:rsidRPr="00D85E7D">
        <w:rPr>
          <w:rFonts w:cs="Arial"/>
        </w:rPr>
        <w:t>bioequivalenza</w:t>
      </w:r>
      <w:proofErr w:type="spellEnd"/>
      <w:r w:rsidR="00F96473" w:rsidRPr="00D85E7D">
        <w:rPr>
          <w:rFonts w:cs="Arial"/>
        </w:rPr>
        <w:t xml:space="preserve"> rispetto al medicinale di riferimento </w:t>
      </w:r>
      <w:proofErr w:type="spellStart"/>
      <w:r w:rsidR="002A1E23">
        <w:rPr>
          <w:rFonts w:cs="Arial"/>
        </w:rPr>
        <w:t>Decortin</w:t>
      </w:r>
      <w:proofErr w:type="spellEnd"/>
      <w:r w:rsidR="00F96473" w:rsidRPr="00D85E7D">
        <w:rPr>
          <w:rFonts w:cs="Arial"/>
        </w:rPr>
        <w:t>. Due medicinali sono</w:t>
      </w:r>
      <w:r w:rsidR="00F96473">
        <w:rPr>
          <w:rFonts w:ascii="Calibri" w:hAnsi="Calibri" w:cs="Arial"/>
        </w:rPr>
        <w:t xml:space="preserve"> </w:t>
      </w:r>
      <w:proofErr w:type="spellStart"/>
      <w:r w:rsidR="00F96473">
        <w:rPr>
          <w:rFonts w:ascii="Calibri" w:hAnsi="Calibri" w:cs="Arial"/>
        </w:rPr>
        <w:t>bioequivalenti</w:t>
      </w:r>
      <w:proofErr w:type="spellEnd"/>
      <w:r w:rsidR="00F96473">
        <w:rPr>
          <w:rFonts w:ascii="Calibri" w:hAnsi="Calibri" w:cs="Arial"/>
        </w:rPr>
        <w:t xml:space="preserve"> quando producono gli stessi livelli di principio attivo nell’organismo</w:t>
      </w:r>
      <w:r w:rsidR="00F96473" w:rsidRPr="004E389D">
        <w:rPr>
          <w:rFonts w:ascii="Calibri" w:hAnsi="Calibri" w:cs="Arial"/>
        </w:rPr>
        <w:t xml:space="preserve">. </w:t>
      </w:r>
    </w:p>
    <w:p w14:paraId="665B28C8" w14:textId="77777777" w:rsidR="008C75F9" w:rsidRDefault="008C75F9" w:rsidP="00F96473">
      <w:pPr>
        <w:spacing w:after="0" w:line="240" w:lineRule="auto"/>
        <w:jc w:val="both"/>
        <w:rPr>
          <w:rFonts w:ascii="Calibri" w:hAnsi="Calibri" w:cs="Arial"/>
        </w:rPr>
      </w:pPr>
    </w:p>
    <w:p w14:paraId="665B28C9" w14:textId="5B945C15" w:rsidR="00112B76" w:rsidRDefault="009D775A" w:rsidP="00112B76">
      <w:pPr>
        <w:widowControl w:val="0"/>
        <w:spacing w:after="0" w:line="240" w:lineRule="auto"/>
        <w:jc w:val="both"/>
        <w:rPr>
          <w:rFonts w:eastAsia="Calibri" w:cs="Calibri"/>
          <w:color w:val="000000"/>
          <w:lang w:eastAsia="it-IT"/>
        </w:rPr>
      </w:pPr>
      <w:r>
        <w:rPr>
          <w:rFonts w:eastAsia="Calibri" w:cs="Calibri"/>
          <w:color w:val="000000"/>
          <w:lang w:eastAsia="it-IT"/>
        </w:rPr>
        <w:t>VAPREDIS</w:t>
      </w:r>
      <w:r w:rsidR="002A1E23">
        <w:rPr>
          <w:rFonts w:eastAsia="Calibri" w:cs="Calibri"/>
          <w:color w:val="000000"/>
          <w:lang w:eastAsia="it-IT"/>
        </w:rPr>
        <w:t>,</w:t>
      </w:r>
      <w:r w:rsidR="002A1E23" w:rsidRPr="002A1E23">
        <w:rPr>
          <w:rFonts w:eastAsia="Calibri" w:cs="Calibri"/>
          <w:color w:val="000000"/>
          <w:lang w:eastAsia="it-IT"/>
        </w:rPr>
        <w:t xml:space="preserve"> </w:t>
      </w:r>
      <w:r w:rsidR="002A1E23">
        <w:rPr>
          <w:rFonts w:eastAsia="Calibri" w:cs="Calibri"/>
          <w:color w:val="000000"/>
          <w:lang w:eastAsia="it-IT"/>
        </w:rPr>
        <w:t>nel dosaggio da 25 mg,</w:t>
      </w:r>
      <w:r w:rsidR="00F76F77" w:rsidRPr="00F76F77">
        <w:rPr>
          <w:rFonts w:eastAsia="Calibri" w:cs="Calibri"/>
          <w:color w:val="000000"/>
          <w:lang w:eastAsia="it-IT"/>
        </w:rPr>
        <w:t xml:space="preserve"> è un “medicinale generico ibrido” ed è considerato </w:t>
      </w:r>
      <w:r w:rsidR="00387CA8" w:rsidRPr="00387CA8">
        <w:rPr>
          <w:rFonts w:eastAsia="Calibri" w:cs="Calibri"/>
          <w:color w:val="000000"/>
          <w:lang w:eastAsia="it-IT"/>
        </w:rPr>
        <w:t xml:space="preserve">terapeuticamente equivalente </w:t>
      </w:r>
      <w:r w:rsidR="00F76F77" w:rsidRPr="00F76F77">
        <w:rPr>
          <w:rFonts w:eastAsia="Calibri" w:cs="Calibri"/>
          <w:color w:val="000000"/>
          <w:lang w:eastAsia="it-IT"/>
        </w:rPr>
        <w:t xml:space="preserve">al medicinale di riferimento </w:t>
      </w:r>
      <w:proofErr w:type="spellStart"/>
      <w:r w:rsidR="00067BB3">
        <w:rPr>
          <w:rFonts w:eastAsia="Calibri" w:cs="Calibri"/>
          <w:color w:val="000000"/>
          <w:lang w:eastAsia="it-IT"/>
        </w:rPr>
        <w:t>Decortin</w:t>
      </w:r>
      <w:proofErr w:type="spellEnd"/>
      <w:r w:rsidR="00F76F77" w:rsidRPr="00F76F77">
        <w:rPr>
          <w:rFonts w:eastAsia="Calibri" w:cs="Calibri"/>
          <w:color w:val="000000"/>
          <w:lang w:eastAsia="it-IT"/>
        </w:rPr>
        <w:t>, quindi con lo stesso rapporto rischio/beneficio.</w:t>
      </w:r>
    </w:p>
    <w:p w14:paraId="665B28CA" w14:textId="77777777" w:rsidR="003238CF" w:rsidRPr="00EB4398" w:rsidRDefault="003238CF" w:rsidP="00112B76">
      <w:pPr>
        <w:widowControl w:val="0"/>
        <w:spacing w:after="0" w:line="240" w:lineRule="auto"/>
        <w:jc w:val="both"/>
        <w:rPr>
          <w:rFonts w:eastAsia="Calibri" w:cs="Calibri"/>
          <w:color w:val="000000"/>
          <w:lang w:eastAsia="it-IT"/>
        </w:rPr>
      </w:pPr>
    </w:p>
    <w:p w14:paraId="665B28CB" w14:textId="3617A79E" w:rsidR="00112B76" w:rsidRDefault="00EB4398" w:rsidP="00112B76">
      <w:pPr>
        <w:widowControl w:val="0"/>
        <w:spacing w:after="0" w:line="240" w:lineRule="auto"/>
        <w:jc w:val="both"/>
        <w:rPr>
          <w:rFonts w:eastAsia="Calibri" w:cs="Calibri"/>
          <w:color w:val="000000"/>
          <w:lang w:eastAsia="it-IT"/>
        </w:rPr>
      </w:pPr>
      <w:r>
        <w:rPr>
          <w:rFonts w:eastAsia="Calibri" w:cs="Calibri"/>
          <w:color w:val="000000"/>
          <w:lang w:eastAsia="it-IT"/>
        </w:rPr>
        <w:t xml:space="preserve">Poiché </w:t>
      </w:r>
      <w:r w:rsidR="009D775A">
        <w:rPr>
          <w:rFonts w:eastAsia="Calibri" w:cs="Calibri"/>
          <w:color w:val="000000"/>
          <w:lang w:eastAsia="it-IT"/>
        </w:rPr>
        <w:t>VAPREDIS</w:t>
      </w:r>
      <w:r w:rsidRPr="002D5520">
        <w:rPr>
          <w:rFonts w:eastAsia="Calibri" w:cs="Calibri"/>
          <w:color w:val="000000"/>
          <w:lang w:eastAsia="it-IT"/>
        </w:rPr>
        <w:t xml:space="preserve"> </w:t>
      </w:r>
      <w:r w:rsidR="002A1E23">
        <w:rPr>
          <w:rFonts w:eastAsia="Calibri" w:cs="Calibri"/>
          <w:color w:val="000000"/>
          <w:lang w:eastAsia="it-IT"/>
        </w:rPr>
        <w:t xml:space="preserve">25 mg </w:t>
      </w:r>
      <w:r w:rsidRPr="002D5520">
        <w:rPr>
          <w:rFonts w:eastAsia="Calibri" w:cs="Calibri"/>
          <w:color w:val="000000"/>
          <w:lang w:eastAsia="it-IT"/>
        </w:rPr>
        <w:t>è un “medicinale generico ibrido</w:t>
      </w:r>
      <w:r>
        <w:rPr>
          <w:rFonts w:eastAsia="Calibri" w:cs="Calibri"/>
          <w:color w:val="000000"/>
          <w:lang w:eastAsia="it-IT"/>
        </w:rPr>
        <w:t>”</w:t>
      </w:r>
      <w:r w:rsidRPr="00EB4398">
        <w:rPr>
          <w:rFonts w:eastAsia="Calibri" w:cs="Calibri"/>
          <w:color w:val="000000"/>
          <w:u w:val="single"/>
          <w:lang w:eastAsia="it-IT"/>
        </w:rPr>
        <w:t xml:space="preserve"> del medicinale </w:t>
      </w:r>
      <w:r w:rsidR="00811B01">
        <w:rPr>
          <w:rFonts w:eastAsia="Calibri" w:cs="Calibri"/>
          <w:color w:val="000000"/>
          <w:u w:val="single"/>
          <w:lang w:eastAsia="it-IT"/>
        </w:rPr>
        <w:t>d</w:t>
      </w:r>
      <w:r w:rsidRPr="00EB4398">
        <w:rPr>
          <w:rFonts w:eastAsia="Calibri" w:cs="Calibri"/>
          <w:color w:val="000000"/>
          <w:u w:val="single"/>
          <w:lang w:eastAsia="it-IT"/>
        </w:rPr>
        <w:t xml:space="preserve">i riferimento </w:t>
      </w:r>
      <w:proofErr w:type="spellStart"/>
      <w:r w:rsidR="002A1E23">
        <w:rPr>
          <w:rFonts w:eastAsia="Calibri" w:cs="Calibri"/>
          <w:color w:val="000000"/>
          <w:u w:val="single"/>
          <w:lang w:eastAsia="it-IT"/>
        </w:rPr>
        <w:t>Decortin</w:t>
      </w:r>
      <w:proofErr w:type="spellEnd"/>
      <w:r w:rsidRPr="002D5520">
        <w:rPr>
          <w:rFonts w:eastAsia="Calibri" w:cs="Calibri"/>
          <w:color w:val="000000"/>
          <w:lang w:eastAsia="it-IT"/>
        </w:rPr>
        <w:t xml:space="preserve">, </w:t>
      </w:r>
      <w:r>
        <w:rPr>
          <w:rFonts w:eastAsia="Calibri" w:cs="Calibri"/>
          <w:color w:val="000000"/>
          <w:lang w:eastAsia="it-IT"/>
        </w:rPr>
        <w:t>c</w:t>
      </w:r>
      <w:r w:rsidR="00F76F77" w:rsidRPr="00F76F77">
        <w:rPr>
          <w:rFonts w:eastAsia="Calibri" w:cs="Calibri"/>
          <w:color w:val="000000"/>
          <w:u w:val="single"/>
          <w:lang w:eastAsia="it-IT"/>
        </w:rPr>
        <w:t xml:space="preserve">ontenente lo stesso principio attivo, ma </w:t>
      </w:r>
      <w:r w:rsidR="00670E24">
        <w:rPr>
          <w:rFonts w:eastAsia="Calibri" w:cs="Calibri"/>
          <w:color w:val="000000"/>
          <w:u w:val="single"/>
          <w:lang w:eastAsia="it-IT"/>
        </w:rPr>
        <w:t>con un diverso dosaggio</w:t>
      </w:r>
      <w:r>
        <w:rPr>
          <w:rFonts w:eastAsia="Calibri" w:cs="Calibri"/>
          <w:color w:val="000000"/>
          <w:u w:val="single"/>
          <w:lang w:eastAsia="it-IT"/>
        </w:rPr>
        <w:t xml:space="preserve">, sono stati presentati studi clinici per </w:t>
      </w:r>
      <w:r w:rsidR="009D775A">
        <w:rPr>
          <w:rFonts w:eastAsia="Calibri" w:cs="Calibri"/>
          <w:color w:val="000000"/>
          <w:lang w:eastAsia="it-IT"/>
        </w:rPr>
        <w:t>VAPREDIS</w:t>
      </w:r>
      <w:r>
        <w:rPr>
          <w:rFonts w:eastAsia="Calibri" w:cs="Calibri"/>
          <w:color w:val="000000"/>
          <w:lang w:eastAsia="it-IT"/>
        </w:rPr>
        <w:t xml:space="preserve"> per dimostrare l’efficacia e la sicurezza rispetto al prodotto di riferimento </w:t>
      </w:r>
      <w:proofErr w:type="spellStart"/>
      <w:r w:rsidR="00670E24">
        <w:rPr>
          <w:rFonts w:eastAsia="Calibri" w:cs="Calibri"/>
          <w:color w:val="000000"/>
          <w:lang w:eastAsia="it-IT"/>
        </w:rPr>
        <w:t>Decortin</w:t>
      </w:r>
      <w:proofErr w:type="spellEnd"/>
      <w:r>
        <w:rPr>
          <w:rFonts w:eastAsia="Calibri" w:cs="Calibri"/>
          <w:color w:val="000000"/>
          <w:lang w:eastAsia="it-IT"/>
        </w:rPr>
        <w:t>.</w:t>
      </w:r>
    </w:p>
    <w:p w14:paraId="665B28CC" w14:textId="77777777" w:rsidR="00C17BE2" w:rsidRPr="00EB4398" w:rsidRDefault="00C17BE2" w:rsidP="00112B76">
      <w:pPr>
        <w:widowControl w:val="0"/>
        <w:spacing w:after="0" w:line="240" w:lineRule="auto"/>
        <w:jc w:val="both"/>
        <w:rPr>
          <w:rFonts w:eastAsia="Calibri" w:cs="Calibri"/>
          <w:color w:val="000000"/>
          <w:u w:val="single"/>
          <w:lang w:eastAsia="it-IT"/>
        </w:rPr>
      </w:pPr>
    </w:p>
    <w:p w14:paraId="665B28CD" w14:textId="6AE34419" w:rsidR="00BB2AF8" w:rsidRPr="002A3F14" w:rsidRDefault="00BB2AF8" w:rsidP="00BB2AF8">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5) QUAL È IL RAPPORTO BENEFICIO/RISCHIO DI </w:t>
      </w:r>
      <w:r w:rsidR="009D775A">
        <w:rPr>
          <w:rFonts w:eastAsia="Calibri" w:cs="Calibri"/>
          <w:b/>
          <w:color w:val="000000"/>
          <w:lang w:eastAsia="it-IT"/>
        </w:rPr>
        <w:t>VAPREDIS</w:t>
      </w:r>
      <w:r w:rsidRPr="009B03DB">
        <w:rPr>
          <w:rFonts w:eastAsia="Calibri" w:cs="Calibri"/>
          <w:b/>
          <w:lang w:eastAsia="it-IT"/>
        </w:rPr>
        <w:t>?</w:t>
      </w:r>
      <w:r w:rsidRPr="002A3F14">
        <w:rPr>
          <w:rFonts w:eastAsia="Calibri" w:cs="Calibri"/>
          <w:lang w:eastAsia="it-IT"/>
        </w:rPr>
        <w:t xml:space="preserve"> </w:t>
      </w:r>
    </w:p>
    <w:p w14:paraId="665B28CE" w14:textId="5B7C8819" w:rsidR="00BB2AF8" w:rsidRPr="002A3F14" w:rsidRDefault="009D775A" w:rsidP="00BB2AF8">
      <w:pPr>
        <w:autoSpaceDE w:val="0"/>
        <w:autoSpaceDN w:val="0"/>
        <w:adjustRightInd w:val="0"/>
        <w:spacing w:after="0" w:line="240" w:lineRule="auto"/>
        <w:jc w:val="both"/>
        <w:rPr>
          <w:rFonts w:eastAsia="Calibri" w:cs="Calibri"/>
          <w:lang w:eastAsia="it-IT"/>
        </w:rPr>
      </w:pPr>
      <w:r>
        <w:rPr>
          <w:rFonts w:eastAsia="Calibri" w:cs="Calibri"/>
          <w:color w:val="000000"/>
          <w:lang w:eastAsia="it-IT"/>
        </w:rPr>
        <w:t>VAPREDIS</w:t>
      </w:r>
      <w:r w:rsidR="007170D7">
        <w:rPr>
          <w:rFonts w:ascii="Calibri" w:hAnsi="Calibri" w:cs="Arial"/>
        </w:rPr>
        <w:t xml:space="preserve"> </w:t>
      </w:r>
      <w:r w:rsidR="00BB2AF8" w:rsidRPr="004241AC">
        <w:rPr>
          <w:rFonts w:eastAsia="Calibri" w:cs="Calibri"/>
          <w:lang w:eastAsia="it-IT"/>
        </w:rPr>
        <w:t xml:space="preserve">è un medicinale </w:t>
      </w:r>
      <w:r w:rsidR="00BB2AF8">
        <w:rPr>
          <w:rFonts w:eastAsia="Calibri" w:cs="Calibri"/>
          <w:lang w:eastAsia="it-IT"/>
        </w:rPr>
        <w:t xml:space="preserve">generico ed è </w:t>
      </w:r>
      <w:proofErr w:type="spellStart"/>
      <w:r w:rsidR="00BB2AF8">
        <w:rPr>
          <w:rFonts w:eastAsia="Calibri" w:cs="Calibri"/>
          <w:lang w:eastAsia="it-IT"/>
        </w:rPr>
        <w:t>bioequivalente</w:t>
      </w:r>
      <w:proofErr w:type="spellEnd"/>
      <w:r w:rsidR="00BB2AF8">
        <w:rPr>
          <w:rFonts w:eastAsia="Calibri" w:cs="Calibri"/>
          <w:lang w:eastAsia="it-IT"/>
        </w:rPr>
        <w:t xml:space="preserve"> al medicinale di riferimento; pertanto,</w:t>
      </w:r>
      <w:r w:rsidR="00BB2AF8" w:rsidRPr="002A3F14">
        <w:rPr>
          <w:rFonts w:eastAsia="Calibri" w:cs="Calibri"/>
          <w:lang w:eastAsia="it-IT"/>
        </w:rPr>
        <w:t xml:space="preserve"> </w:t>
      </w:r>
      <w:r w:rsidR="00BB2AF8">
        <w:rPr>
          <w:rFonts w:eastAsia="Calibri" w:cs="Calibri"/>
          <w:lang w:eastAsia="it-IT"/>
        </w:rPr>
        <w:t>i suoi</w:t>
      </w:r>
      <w:r w:rsidR="00BB2AF8" w:rsidRPr="002A3F14">
        <w:rPr>
          <w:rFonts w:eastAsia="Calibri" w:cs="Calibri"/>
          <w:lang w:eastAsia="it-IT"/>
        </w:rPr>
        <w:t xml:space="preserve"> benefici e rischi sono sovrapponibili a quelli de</w:t>
      </w:r>
      <w:r w:rsidR="00BB2AF8">
        <w:rPr>
          <w:rFonts w:eastAsia="Calibri" w:cs="Calibri"/>
          <w:lang w:eastAsia="it-IT"/>
        </w:rPr>
        <w:t>l</w:t>
      </w:r>
      <w:r w:rsidR="00BB2AF8" w:rsidRPr="002A3F14">
        <w:rPr>
          <w:rFonts w:eastAsia="Calibri" w:cs="Calibri"/>
          <w:lang w:eastAsia="it-IT"/>
        </w:rPr>
        <w:t xml:space="preserve"> </w:t>
      </w:r>
      <w:r w:rsidR="00BB2AF8">
        <w:rPr>
          <w:rFonts w:eastAsia="Calibri" w:cs="Calibri"/>
          <w:lang w:eastAsia="it-IT"/>
        </w:rPr>
        <w:t>medicinale</w:t>
      </w:r>
      <w:r w:rsidR="00BB2AF8" w:rsidRPr="002A3F14">
        <w:rPr>
          <w:rFonts w:eastAsia="Calibri" w:cs="Calibri"/>
          <w:lang w:eastAsia="it-IT"/>
        </w:rPr>
        <w:t xml:space="preserve"> di riferimento. </w:t>
      </w:r>
    </w:p>
    <w:p w14:paraId="665B28CF" w14:textId="77777777" w:rsidR="00BB2AF8" w:rsidRDefault="00BB2AF8" w:rsidP="00BB2AF8">
      <w:pPr>
        <w:autoSpaceDE w:val="0"/>
        <w:autoSpaceDN w:val="0"/>
        <w:adjustRightInd w:val="0"/>
        <w:spacing w:after="0" w:line="240" w:lineRule="auto"/>
        <w:jc w:val="both"/>
        <w:rPr>
          <w:rFonts w:eastAsia="Calibri" w:cs="Calibri"/>
          <w:lang w:eastAsia="it-IT"/>
        </w:rPr>
      </w:pPr>
    </w:p>
    <w:p w14:paraId="665B28D0" w14:textId="27C4A391" w:rsidR="006B311C" w:rsidRPr="00666CCE" w:rsidRDefault="00943785" w:rsidP="00943785">
      <w:pPr>
        <w:autoSpaceDE w:val="0"/>
        <w:autoSpaceDN w:val="0"/>
        <w:adjustRightInd w:val="0"/>
        <w:spacing w:after="0" w:line="240" w:lineRule="auto"/>
        <w:jc w:val="both"/>
        <w:rPr>
          <w:rFonts w:eastAsia="Calibri" w:cs="Calibri"/>
          <w:lang w:eastAsia="it-IT"/>
        </w:rPr>
      </w:pPr>
      <w:r w:rsidRPr="00CB3303">
        <w:rPr>
          <w:rFonts w:eastAsia="Calibri" w:cs="Calibri"/>
          <w:lang w:eastAsia="it-IT"/>
        </w:rPr>
        <w:t xml:space="preserve">Per l’elenco completo degli effetti indesiderati rilevati con </w:t>
      </w:r>
      <w:r w:rsidR="009D775A">
        <w:rPr>
          <w:rFonts w:eastAsia="Calibri" w:cs="Calibri"/>
          <w:color w:val="000000"/>
          <w:lang w:eastAsia="it-IT"/>
        </w:rPr>
        <w:t>VAPREDIS</w:t>
      </w:r>
      <w:r>
        <w:rPr>
          <w:rFonts w:ascii="Calibri" w:hAnsi="Calibri" w:cs="Arial"/>
        </w:rPr>
        <w:t xml:space="preserve"> </w:t>
      </w:r>
      <w:r w:rsidRPr="00CB3303">
        <w:rPr>
          <w:rFonts w:eastAsia="Calibri" w:cs="Calibri"/>
          <w:lang w:eastAsia="it-IT"/>
        </w:rPr>
        <w:t>si rimanda al foglio illustrativo.</w:t>
      </w:r>
    </w:p>
    <w:p w14:paraId="665B28D1" w14:textId="77777777" w:rsidR="00BB2AF8" w:rsidRPr="00666CCE" w:rsidRDefault="00BB2AF8" w:rsidP="00BB2AF8">
      <w:pPr>
        <w:autoSpaceDE w:val="0"/>
        <w:autoSpaceDN w:val="0"/>
        <w:adjustRightInd w:val="0"/>
        <w:spacing w:after="0" w:line="240" w:lineRule="auto"/>
        <w:jc w:val="both"/>
        <w:rPr>
          <w:rFonts w:eastAsia="Calibri" w:cs="Calibri"/>
          <w:lang w:eastAsia="it-IT"/>
        </w:rPr>
      </w:pPr>
    </w:p>
    <w:p w14:paraId="665B28D2" w14:textId="18EDD4F3" w:rsidR="00BB2AF8" w:rsidRPr="000F056B" w:rsidRDefault="00BB2AF8" w:rsidP="00BB2AF8">
      <w:pPr>
        <w:autoSpaceDE w:val="0"/>
        <w:autoSpaceDN w:val="0"/>
        <w:adjustRightInd w:val="0"/>
        <w:spacing w:after="0" w:line="240" w:lineRule="auto"/>
        <w:jc w:val="both"/>
        <w:rPr>
          <w:rFonts w:eastAsia="Calibri" w:cs="Calibri"/>
          <w:lang w:eastAsia="it-IT"/>
        </w:rPr>
      </w:pPr>
      <w:r w:rsidRPr="000F056B">
        <w:rPr>
          <w:rFonts w:eastAsia="Calibri" w:cs="Calibri"/>
          <w:b/>
          <w:bCs/>
          <w:lang w:eastAsia="it-IT"/>
        </w:rPr>
        <w:t xml:space="preserve">6) PERCHE’ </w:t>
      </w:r>
      <w:r w:rsidR="009D775A">
        <w:rPr>
          <w:rFonts w:eastAsia="Calibri" w:cs="Calibri"/>
          <w:b/>
          <w:color w:val="000000"/>
          <w:lang w:eastAsia="it-IT"/>
        </w:rPr>
        <w:t>VAPREDIS</w:t>
      </w:r>
      <w:r w:rsidR="007170D7" w:rsidRPr="000F056B">
        <w:rPr>
          <w:rFonts w:eastAsia="Calibri" w:cs="Calibri"/>
          <w:b/>
          <w:color w:val="000000"/>
          <w:lang w:eastAsia="it-IT"/>
        </w:rPr>
        <w:t xml:space="preserve"> </w:t>
      </w:r>
      <w:r w:rsidR="00F04CA3" w:rsidRPr="000F056B">
        <w:rPr>
          <w:rFonts w:eastAsia="Calibri" w:cs="Calibri"/>
          <w:b/>
          <w:bCs/>
          <w:lang w:eastAsia="it-IT"/>
        </w:rPr>
        <w:t>È</w:t>
      </w:r>
      <w:r w:rsidRPr="000F056B">
        <w:rPr>
          <w:rFonts w:eastAsia="Calibri" w:cs="Calibri"/>
          <w:b/>
          <w:bCs/>
          <w:lang w:eastAsia="it-IT"/>
        </w:rPr>
        <w:t xml:space="preserve"> STATO APPROVATO? </w:t>
      </w:r>
    </w:p>
    <w:p w14:paraId="665B28D3" w14:textId="1D82B8C6" w:rsidR="00BB2AF8" w:rsidRPr="00CB3303" w:rsidRDefault="000C1389" w:rsidP="00BB2AF8">
      <w:pPr>
        <w:autoSpaceDE w:val="0"/>
        <w:autoSpaceDN w:val="0"/>
        <w:adjustRightInd w:val="0"/>
        <w:spacing w:after="0" w:line="240" w:lineRule="auto"/>
        <w:jc w:val="both"/>
        <w:rPr>
          <w:rFonts w:eastAsia="Calibri" w:cs="Calibri"/>
          <w:lang w:eastAsia="it-IT"/>
        </w:rPr>
      </w:pPr>
      <w:r w:rsidRPr="000F056B">
        <w:rPr>
          <w:rFonts w:eastAsia="Calibri" w:cs="Calibri"/>
          <w:lang w:eastAsia="it-IT"/>
        </w:rPr>
        <w:t>A seguito dell’istruttoria condotta dagli Uffici dell’AIFA l</w:t>
      </w:r>
      <w:r w:rsidR="00BB2AF8" w:rsidRPr="000F056B">
        <w:rPr>
          <w:rFonts w:eastAsia="Calibri" w:cs="Calibri"/>
          <w:lang w:eastAsia="it-IT"/>
        </w:rPr>
        <w:t xml:space="preserve">a </w:t>
      </w:r>
      <w:r w:rsidR="00F04CA3" w:rsidRPr="000F056B">
        <w:rPr>
          <w:rFonts w:eastAsia="Calibri" w:cs="Calibri"/>
          <w:color w:val="000000"/>
          <w:lang w:eastAsia="it-IT"/>
        </w:rPr>
        <w:t>Commissione scientifica ed economica del farmaco</w:t>
      </w:r>
      <w:r w:rsidR="00BB2AF8" w:rsidRPr="000F056B">
        <w:rPr>
          <w:rFonts w:eastAsia="Calibri" w:cs="Calibri"/>
          <w:color w:val="000000"/>
          <w:lang w:eastAsia="it-IT"/>
        </w:rPr>
        <w:t xml:space="preserve"> (C</w:t>
      </w:r>
      <w:r w:rsidR="00F04CA3" w:rsidRPr="000F056B">
        <w:rPr>
          <w:rFonts w:eastAsia="Calibri" w:cs="Calibri"/>
          <w:color w:val="000000"/>
          <w:lang w:eastAsia="it-IT"/>
        </w:rPr>
        <w:t>SE</w:t>
      </w:r>
      <w:r w:rsidR="00BB2AF8" w:rsidRPr="000F056B">
        <w:rPr>
          <w:rFonts w:eastAsia="Calibri" w:cs="Calibri"/>
          <w:color w:val="000000"/>
          <w:lang w:eastAsia="it-IT"/>
        </w:rPr>
        <w:t>)</w:t>
      </w:r>
      <w:r w:rsidR="00BB2AF8" w:rsidRPr="000F056B">
        <w:rPr>
          <w:rFonts w:eastAsia="Calibri" w:cs="Calibri"/>
          <w:lang w:eastAsia="it-IT"/>
        </w:rPr>
        <w:t xml:space="preserve">, nella riunione del </w:t>
      </w:r>
      <w:r w:rsidR="00F04CA3" w:rsidRPr="000F056B">
        <w:rPr>
          <w:rFonts w:eastAsia="Calibri" w:cs="Calibri"/>
          <w:bCs/>
          <w:iCs/>
          <w:lang w:eastAsia="it-IT"/>
        </w:rPr>
        <w:t xml:space="preserve">22, 23 e 24 </w:t>
      </w:r>
      <w:r w:rsidR="000F056B" w:rsidRPr="000F056B">
        <w:rPr>
          <w:rFonts w:eastAsia="Calibri" w:cs="Calibri"/>
          <w:bCs/>
          <w:iCs/>
          <w:lang w:eastAsia="it-IT"/>
        </w:rPr>
        <w:t>aprile</w:t>
      </w:r>
      <w:r w:rsidR="00F04CA3" w:rsidRPr="000F056B">
        <w:rPr>
          <w:rFonts w:eastAsia="Calibri" w:cs="Calibri"/>
          <w:bCs/>
          <w:iCs/>
          <w:lang w:eastAsia="it-IT"/>
        </w:rPr>
        <w:t xml:space="preserve"> 2024</w:t>
      </w:r>
      <w:r w:rsidR="00BB2AF8" w:rsidRPr="000F056B">
        <w:rPr>
          <w:rFonts w:eastAsia="Calibri" w:cs="Calibri"/>
          <w:lang w:eastAsia="it-IT"/>
        </w:rPr>
        <w:t xml:space="preserve">, ha concluso che, conformemente ai requisiti della normativa vigente, come nel caso del medicinale di riferimento </w:t>
      </w:r>
      <w:proofErr w:type="spellStart"/>
      <w:r w:rsidR="00F04CA3" w:rsidRPr="000F056B">
        <w:rPr>
          <w:rFonts w:eastAsia="Calibri" w:cs="Calibri"/>
          <w:lang w:eastAsia="it-IT"/>
        </w:rPr>
        <w:t>Decortin</w:t>
      </w:r>
      <w:proofErr w:type="spellEnd"/>
      <w:r w:rsidR="00BB2AF8" w:rsidRPr="000F056B">
        <w:rPr>
          <w:rFonts w:eastAsia="Calibri" w:cs="Calibri"/>
          <w:lang w:eastAsia="it-IT"/>
        </w:rPr>
        <w:t xml:space="preserve">, i benefici di </w:t>
      </w:r>
      <w:r w:rsidR="009D775A">
        <w:rPr>
          <w:rFonts w:eastAsia="Calibri" w:cs="Calibri"/>
          <w:color w:val="000000"/>
          <w:lang w:eastAsia="it-IT"/>
        </w:rPr>
        <w:t>VAPREDIS</w:t>
      </w:r>
      <w:r w:rsidR="007170D7" w:rsidRPr="000F056B">
        <w:rPr>
          <w:rFonts w:ascii="Calibri" w:hAnsi="Calibri" w:cs="Arial"/>
        </w:rPr>
        <w:t xml:space="preserve"> </w:t>
      </w:r>
      <w:r w:rsidR="00BB2AF8" w:rsidRPr="000F056B">
        <w:rPr>
          <w:rFonts w:eastAsia="Calibri" w:cs="Calibri"/>
          <w:lang w:eastAsia="it-IT"/>
        </w:rPr>
        <w:t xml:space="preserve">sono superiori ai rischi individuati. La </w:t>
      </w:r>
      <w:r w:rsidR="00F04CA3" w:rsidRPr="000F056B">
        <w:rPr>
          <w:rFonts w:eastAsia="Calibri" w:cs="Calibri"/>
          <w:lang w:eastAsia="it-IT"/>
        </w:rPr>
        <w:t>CSE</w:t>
      </w:r>
      <w:r w:rsidR="00BB2AF8" w:rsidRPr="000F056B">
        <w:rPr>
          <w:rFonts w:eastAsia="Calibri" w:cs="Calibri"/>
          <w:lang w:eastAsia="it-IT"/>
        </w:rPr>
        <w:t xml:space="preserve"> ha, inoltre, definito le modalità di prescrizione di cui al punto 2) di questo Riassunto e la classe di rimborsabilità del medicinale</w:t>
      </w:r>
      <w:r w:rsidR="007170D7" w:rsidRPr="000F056B">
        <w:rPr>
          <w:rFonts w:eastAsia="Calibri" w:cs="Calibri"/>
          <w:lang w:eastAsia="it-IT"/>
        </w:rPr>
        <w:t xml:space="preserve"> </w:t>
      </w:r>
      <w:r w:rsidR="00F76F77" w:rsidRPr="000F056B">
        <w:rPr>
          <w:rFonts w:eastAsia="Calibri" w:cs="Calibri"/>
          <w:lang w:eastAsia="it-IT"/>
        </w:rPr>
        <w:t>(</w:t>
      </w:r>
      <w:r w:rsidR="0098470E" w:rsidRPr="000F056B">
        <w:rPr>
          <w:rFonts w:eastAsia="Calibri" w:cs="Calibri"/>
          <w:lang w:eastAsia="it-IT"/>
        </w:rPr>
        <w:t>classificazione provvisoria C</w:t>
      </w:r>
      <w:r w:rsidR="000F056B" w:rsidRPr="000F056B">
        <w:rPr>
          <w:rFonts w:eastAsia="Calibri" w:cs="Calibri"/>
          <w:lang w:eastAsia="it-IT"/>
        </w:rPr>
        <w:t>(</w:t>
      </w:r>
      <w:proofErr w:type="spellStart"/>
      <w:r w:rsidR="0098470E" w:rsidRPr="000F056B">
        <w:rPr>
          <w:rFonts w:eastAsia="Calibri" w:cs="Calibri"/>
          <w:lang w:eastAsia="it-IT"/>
        </w:rPr>
        <w:t>nn</w:t>
      </w:r>
      <w:proofErr w:type="spellEnd"/>
      <w:r w:rsidR="000F056B" w:rsidRPr="000F056B">
        <w:rPr>
          <w:rFonts w:eastAsia="Calibri" w:cs="Calibri"/>
          <w:lang w:eastAsia="it-IT"/>
        </w:rPr>
        <w:t>))</w:t>
      </w:r>
      <w:r w:rsidR="0098470E" w:rsidRPr="000F056B">
        <w:rPr>
          <w:rFonts w:eastAsia="Calibri" w:cs="Calibri"/>
          <w:lang w:eastAsia="it-IT"/>
        </w:rPr>
        <w:t>.</w:t>
      </w:r>
    </w:p>
    <w:p w14:paraId="665B28D4" w14:textId="77777777" w:rsidR="004241AC" w:rsidRDefault="004241AC" w:rsidP="004241AC">
      <w:pPr>
        <w:autoSpaceDE w:val="0"/>
        <w:autoSpaceDN w:val="0"/>
        <w:adjustRightInd w:val="0"/>
        <w:spacing w:after="0" w:line="240" w:lineRule="auto"/>
        <w:jc w:val="both"/>
        <w:rPr>
          <w:rFonts w:eastAsia="Calibri" w:cs="Calibri"/>
          <w:b/>
          <w:bCs/>
          <w:lang w:eastAsia="it-IT"/>
        </w:rPr>
      </w:pPr>
    </w:p>
    <w:p w14:paraId="665B28D5" w14:textId="3D53F192"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7) QUALI MISURE SONO STATE PRESE PER ASSICURARE LA SICUREZZA E L’EFFICACIA NELL’USO DI </w:t>
      </w:r>
      <w:r w:rsidR="009D775A">
        <w:rPr>
          <w:rFonts w:eastAsia="Calibri" w:cs="Calibri"/>
          <w:b/>
          <w:color w:val="000000"/>
          <w:lang w:eastAsia="it-IT"/>
        </w:rPr>
        <w:t>VAPREDIS</w:t>
      </w:r>
      <w:r w:rsidRPr="002A3F14">
        <w:rPr>
          <w:rFonts w:eastAsia="Calibri" w:cs="Calibri"/>
          <w:b/>
          <w:bCs/>
          <w:color w:val="000000"/>
          <w:lang w:eastAsia="it-IT"/>
        </w:rPr>
        <w:t>?</w:t>
      </w:r>
    </w:p>
    <w:p w14:paraId="665B28D6" w14:textId="09B0FD48" w:rsidR="004241AC" w:rsidRDefault="00F85989"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Il </w:t>
      </w:r>
      <w:r>
        <w:rPr>
          <w:rFonts w:eastAsia="Calibri" w:cs="Calibri"/>
          <w:lang w:eastAsia="it-IT"/>
        </w:rPr>
        <w:t>titolare</w:t>
      </w:r>
      <w:r w:rsidRPr="002A3F14">
        <w:rPr>
          <w:rFonts w:eastAsia="Calibri" w:cs="Calibri"/>
          <w:lang w:eastAsia="it-IT"/>
        </w:rPr>
        <w:t xml:space="preserve"> </w:t>
      </w:r>
      <w:r w:rsidR="004241AC" w:rsidRPr="002A3F14">
        <w:rPr>
          <w:rFonts w:eastAsia="Calibri" w:cs="Calibri"/>
          <w:lang w:eastAsia="it-IT"/>
        </w:rPr>
        <w:t>dell’autorizzazione all’immissione in commercio (AIC) ha presentato u</w:t>
      </w:r>
      <w:r w:rsidR="004241AC">
        <w:rPr>
          <w:rFonts w:eastAsia="Calibri" w:cs="Calibri"/>
          <w:lang w:eastAsia="it-IT"/>
        </w:rPr>
        <w:t>n Piano di Gestione del Rischio</w:t>
      </w:r>
      <w:r w:rsidR="004241AC" w:rsidRPr="002A3F14">
        <w:rPr>
          <w:rFonts w:eastAsia="Calibri" w:cs="Calibri"/>
          <w:lang w:eastAsia="it-IT"/>
        </w:rPr>
        <w:t xml:space="preserve">, in accordo con quanto richiesto dalla Direttiva 2001/83/CE e successivi emendamenti, descrivendo le attività di Farmacovigilanza e gli interventi finalizzati ad identificare, caratterizzare, prevenire o minimizzare i rischi correlati a </w:t>
      </w:r>
      <w:r w:rsidR="009D775A">
        <w:rPr>
          <w:rFonts w:eastAsia="Calibri" w:cs="Calibri"/>
          <w:color w:val="000000"/>
          <w:lang w:eastAsia="it-IT"/>
        </w:rPr>
        <w:t>VAPREDIS</w:t>
      </w:r>
      <w:r w:rsidR="004241AC" w:rsidRPr="007170D7">
        <w:rPr>
          <w:rFonts w:eastAsia="Calibri" w:cs="Calibri"/>
          <w:lang w:eastAsia="it-IT"/>
        </w:rPr>
        <w:t>.</w:t>
      </w:r>
    </w:p>
    <w:p w14:paraId="665B28D7" w14:textId="77777777" w:rsidR="00663BCD" w:rsidRPr="002A3F14" w:rsidRDefault="00663BCD" w:rsidP="004241AC">
      <w:pPr>
        <w:autoSpaceDE w:val="0"/>
        <w:autoSpaceDN w:val="0"/>
        <w:adjustRightInd w:val="0"/>
        <w:spacing w:after="0" w:line="240" w:lineRule="auto"/>
        <w:jc w:val="both"/>
        <w:rPr>
          <w:rFonts w:eastAsia="Calibri" w:cs="Calibri"/>
          <w:lang w:eastAsia="it-IT"/>
        </w:rPr>
      </w:pPr>
    </w:p>
    <w:p w14:paraId="665B28D8" w14:textId="78996AEB"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b/>
          <w:bCs/>
          <w:lang w:eastAsia="it-IT"/>
        </w:rPr>
        <w:t xml:space="preserve">8) ALTRE INFORMAZIONI RELATIVE A </w:t>
      </w:r>
      <w:r w:rsidR="009D775A">
        <w:rPr>
          <w:rFonts w:eastAsia="Calibri" w:cs="Calibri"/>
          <w:b/>
          <w:color w:val="000000"/>
          <w:lang w:eastAsia="it-IT"/>
        </w:rPr>
        <w:t>VAPREDIS</w:t>
      </w:r>
    </w:p>
    <w:p w14:paraId="665B28D9" w14:textId="2B7625F2" w:rsidR="004241AC" w:rsidRPr="00CA3A1E" w:rsidRDefault="004241AC" w:rsidP="004241AC">
      <w:pPr>
        <w:autoSpaceDE w:val="0"/>
        <w:autoSpaceDN w:val="0"/>
        <w:adjustRightInd w:val="0"/>
        <w:spacing w:after="0" w:line="240" w:lineRule="auto"/>
        <w:jc w:val="both"/>
        <w:rPr>
          <w:rFonts w:eastAsia="Calibri" w:cs="Calibri"/>
          <w:bCs/>
          <w:lang w:eastAsia="it-IT"/>
        </w:rPr>
      </w:pPr>
      <w:r w:rsidRPr="00BB2AF8">
        <w:rPr>
          <w:rFonts w:eastAsia="Calibri" w:cs="Calibri"/>
          <w:bCs/>
          <w:iCs/>
          <w:lang w:eastAsia="it-IT"/>
        </w:rPr>
        <w:t xml:space="preserve">Il </w:t>
      </w:r>
      <w:r w:rsidR="00F04CA3" w:rsidRPr="00DD7E1B">
        <w:rPr>
          <w:rFonts w:eastAsia="Calibri" w:cs="Calibri"/>
          <w:b/>
          <w:bCs/>
          <w:iCs/>
          <w:lang w:eastAsia="it-IT"/>
        </w:rPr>
        <w:t>16 settembre 2024</w:t>
      </w:r>
      <w:r w:rsidRPr="00BB2AF8">
        <w:rPr>
          <w:rFonts w:eastAsia="Calibri" w:cs="Calibri"/>
          <w:bCs/>
          <w:iCs/>
          <w:lang w:eastAsia="it-IT"/>
        </w:rPr>
        <w:t xml:space="preserve"> l’AIFA ha rilasciato l’autorizzazione all’immissione in commercio di </w:t>
      </w:r>
      <w:r w:rsidR="009D775A">
        <w:rPr>
          <w:rFonts w:eastAsia="Calibri" w:cs="Calibri"/>
          <w:color w:val="000000"/>
          <w:lang w:eastAsia="it-IT"/>
        </w:rPr>
        <w:t>VAPREDIS</w:t>
      </w:r>
      <w:r w:rsidRPr="007170D7">
        <w:rPr>
          <w:rFonts w:eastAsia="Calibri" w:cs="Calibri"/>
          <w:bCs/>
          <w:lang w:eastAsia="it-IT"/>
        </w:rPr>
        <w:t>.</w:t>
      </w:r>
    </w:p>
    <w:p w14:paraId="665B28DA" w14:textId="77777777" w:rsidR="004E5A39" w:rsidRDefault="004E5A39" w:rsidP="004241AC">
      <w:pPr>
        <w:autoSpaceDE w:val="0"/>
        <w:autoSpaceDN w:val="0"/>
        <w:adjustRightInd w:val="0"/>
        <w:spacing w:after="0" w:line="240" w:lineRule="auto"/>
        <w:jc w:val="both"/>
        <w:rPr>
          <w:rFonts w:eastAsia="Calibri" w:cs="Calibri"/>
          <w:lang w:eastAsia="it-IT"/>
        </w:rPr>
      </w:pPr>
    </w:p>
    <w:p w14:paraId="665B28DB" w14:textId="77777777" w:rsidR="004E5A39" w:rsidRDefault="004E5A39" w:rsidP="004E5A39">
      <w:pPr>
        <w:autoSpaceDE w:val="0"/>
        <w:autoSpaceDN w:val="0"/>
        <w:adjustRightInd w:val="0"/>
        <w:spacing w:after="0" w:line="240" w:lineRule="auto"/>
        <w:jc w:val="both"/>
        <w:rPr>
          <w:rFonts w:eastAsia="Calibri" w:cs="Calibri"/>
          <w:lang w:eastAsia="it-IT"/>
        </w:rPr>
      </w:pPr>
      <w:r>
        <w:rPr>
          <w:rFonts w:eastAsia="Calibri" w:cs="Calibri"/>
          <w:lang w:eastAsia="it-IT"/>
        </w:rPr>
        <w:lastRenderedPageBreak/>
        <w:t xml:space="preserve">La Relazione Pubblica di Valutazione completa segue questo Riassunto. </w:t>
      </w:r>
    </w:p>
    <w:p w14:paraId="665B28DC" w14:textId="3A04780E" w:rsidR="004241AC" w:rsidRPr="002A3F14" w:rsidRDefault="004241AC" w:rsidP="004241AC">
      <w:pPr>
        <w:autoSpaceDE w:val="0"/>
        <w:autoSpaceDN w:val="0"/>
        <w:adjustRightInd w:val="0"/>
        <w:spacing w:after="0" w:line="240" w:lineRule="auto"/>
        <w:jc w:val="both"/>
        <w:rPr>
          <w:rFonts w:eastAsia="Calibri" w:cs="Calibri"/>
          <w:lang w:eastAsia="it-IT"/>
        </w:rPr>
      </w:pPr>
      <w:r w:rsidRPr="002A3F14">
        <w:rPr>
          <w:rFonts w:eastAsia="Calibri" w:cs="Calibri"/>
          <w:lang w:eastAsia="it-IT"/>
        </w:rPr>
        <w:t xml:space="preserve">Per maggiori informazioni riguardo il trattamento </w:t>
      </w:r>
      <w:r w:rsidRPr="00CA3A1E">
        <w:rPr>
          <w:rFonts w:eastAsia="Calibri" w:cs="Calibri"/>
          <w:lang w:eastAsia="it-IT"/>
        </w:rPr>
        <w:t xml:space="preserve">con </w:t>
      </w:r>
      <w:r w:rsidR="009D775A">
        <w:rPr>
          <w:rFonts w:eastAsia="Calibri" w:cs="Calibri"/>
          <w:color w:val="000000"/>
          <w:lang w:eastAsia="it-IT"/>
        </w:rPr>
        <w:t>VAPREDIS</w:t>
      </w:r>
      <w:r w:rsidR="007170D7">
        <w:rPr>
          <w:rFonts w:eastAsia="Calibri" w:cs="Calibri"/>
          <w:color w:val="000000"/>
          <w:lang w:eastAsia="it-IT"/>
        </w:rPr>
        <w:t xml:space="preserve"> </w:t>
      </w:r>
      <w:r w:rsidRPr="00CA3A1E">
        <w:rPr>
          <w:rFonts w:eastAsia="Calibri" w:cs="Calibri"/>
          <w:lang w:eastAsia="it-IT"/>
        </w:rPr>
        <w:t>si</w:t>
      </w:r>
      <w:r w:rsidRPr="002A3F14">
        <w:rPr>
          <w:rFonts w:eastAsia="Calibri" w:cs="Calibri"/>
          <w:lang w:eastAsia="it-IT"/>
        </w:rPr>
        <w:t xml:space="preserve"> può leggere il </w:t>
      </w:r>
      <w:r>
        <w:rPr>
          <w:rFonts w:eastAsia="Calibri" w:cs="Calibri"/>
          <w:lang w:eastAsia="it-IT"/>
        </w:rPr>
        <w:t>f</w:t>
      </w:r>
      <w:r w:rsidRPr="002A3F14">
        <w:rPr>
          <w:rFonts w:eastAsia="Calibri" w:cs="Calibri"/>
          <w:lang w:eastAsia="it-IT"/>
        </w:rPr>
        <w:t xml:space="preserve">oglio </w:t>
      </w:r>
      <w:r>
        <w:rPr>
          <w:rFonts w:eastAsia="Calibri" w:cs="Calibri"/>
          <w:lang w:eastAsia="it-IT"/>
        </w:rPr>
        <w:t>i</w:t>
      </w:r>
      <w:r w:rsidRPr="002A3F14">
        <w:rPr>
          <w:rFonts w:eastAsia="Calibri" w:cs="Calibri"/>
          <w:lang w:eastAsia="it-IT"/>
        </w:rPr>
        <w:t>llustrativo</w:t>
      </w:r>
      <w:r w:rsidR="00D20170">
        <w:rPr>
          <w:rFonts w:eastAsia="Calibri" w:cs="Calibri"/>
          <w:lang w:eastAsia="it-IT"/>
        </w:rPr>
        <w:t xml:space="preserve"> </w:t>
      </w:r>
      <w:r w:rsidR="00567615">
        <w:rPr>
          <w:rFonts w:eastAsia="Calibri" w:cs="Calibri"/>
          <w:lang w:eastAsia="it-IT"/>
        </w:rPr>
        <w:t>(</w:t>
      </w:r>
      <w:r w:rsidR="00362238" w:rsidRPr="00362238">
        <w:rPr>
          <w:rFonts w:eastAsia="Calibri" w:cs="Calibri"/>
          <w:lang w:eastAsia="it-IT"/>
        </w:rPr>
        <w:t>https://medicinali.aifa.gov.it/</w:t>
      </w:r>
      <w:r w:rsidR="00567615">
        <w:rPr>
          <w:rFonts w:eastAsia="Calibri" w:cs="Calibri"/>
          <w:lang w:eastAsia="it-IT"/>
        </w:rPr>
        <w:t xml:space="preserve">) </w:t>
      </w:r>
      <w:r w:rsidRPr="002A3F14">
        <w:rPr>
          <w:rFonts w:eastAsia="Calibri" w:cs="Calibri"/>
          <w:lang w:eastAsia="it-IT"/>
        </w:rPr>
        <w:t xml:space="preserve">o contattare il medico o </w:t>
      </w:r>
      <w:r w:rsidR="009B03DB">
        <w:rPr>
          <w:rFonts w:eastAsia="Calibri" w:cs="Calibri"/>
          <w:lang w:eastAsia="it-IT"/>
        </w:rPr>
        <w:t xml:space="preserve">il </w:t>
      </w:r>
      <w:r w:rsidRPr="002A3F14">
        <w:rPr>
          <w:rFonts w:eastAsia="Calibri" w:cs="Calibri"/>
          <w:lang w:eastAsia="it-IT"/>
        </w:rPr>
        <w:t xml:space="preserve">farmacista. </w:t>
      </w:r>
    </w:p>
    <w:p w14:paraId="665B28DD" w14:textId="77777777" w:rsidR="004241AC" w:rsidRDefault="004241AC" w:rsidP="004241AC">
      <w:pPr>
        <w:spacing w:after="0" w:line="240" w:lineRule="auto"/>
        <w:jc w:val="both"/>
        <w:rPr>
          <w:rFonts w:eastAsia="Calibri" w:cs="Calibri"/>
          <w:lang w:eastAsia="it-IT"/>
        </w:rPr>
      </w:pPr>
    </w:p>
    <w:p w14:paraId="665B28DE" w14:textId="77777777" w:rsidR="004241AC" w:rsidRPr="002A3F14" w:rsidRDefault="004241AC" w:rsidP="004241AC">
      <w:pPr>
        <w:spacing w:after="0" w:line="240" w:lineRule="auto"/>
        <w:jc w:val="both"/>
        <w:rPr>
          <w:rFonts w:eastAsia="Calibri" w:cs="Calibri"/>
          <w:lang w:eastAsia="it-IT"/>
        </w:rPr>
      </w:pPr>
      <w:r w:rsidRPr="002A3F14">
        <w:rPr>
          <w:rFonts w:eastAsia="Calibri" w:cs="Calibri"/>
          <w:lang w:eastAsia="it-IT"/>
        </w:rPr>
        <w:t xml:space="preserve">Questo riassunto è stato redatto in </w:t>
      </w:r>
      <w:r w:rsidR="00B1186F" w:rsidRPr="0035457D">
        <w:rPr>
          <w:rFonts w:eastAsia="Calibri" w:cs="Calibri"/>
          <w:lang w:eastAsia="it-IT"/>
        </w:rPr>
        <w:t xml:space="preserve">data </w:t>
      </w:r>
      <w:r w:rsidR="00DE511D" w:rsidRPr="0035457D">
        <w:rPr>
          <w:rFonts w:eastAsia="Calibri" w:cs="Calibri"/>
          <w:lang w:eastAsia="it-IT"/>
        </w:rPr>
        <w:t>23/10/2024.</w:t>
      </w:r>
    </w:p>
    <w:p w14:paraId="665B28DF" w14:textId="77777777" w:rsidR="007170D7" w:rsidRDefault="007170D7" w:rsidP="004E5A39">
      <w:pPr>
        <w:spacing w:after="0" w:line="240" w:lineRule="auto"/>
        <w:jc w:val="center"/>
        <w:rPr>
          <w:b/>
          <w:sz w:val="28"/>
        </w:rPr>
      </w:pPr>
    </w:p>
    <w:p w14:paraId="665B28E0" w14:textId="77777777" w:rsidR="00DE511D" w:rsidRDefault="00DE511D" w:rsidP="004E5A39">
      <w:pPr>
        <w:spacing w:after="0" w:line="240" w:lineRule="auto"/>
        <w:jc w:val="center"/>
        <w:rPr>
          <w:b/>
          <w:sz w:val="28"/>
        </w:rPr>
      </w:pPr>
      <w:r>
        <w:rPr>
          <w:b/>
          <w:sz w:val="28"/>
        </w:rPr>
        <w:br w:type="page"/>
      </w:r>
    </w:p>
    <w:p w14:paraId="665B28E1" w14:textId="77777777" w:rsidR="00DE511D" w:rsidRDefault="00DE511D" w:rsidP="004E5A39">
      <w:pPr>
        <w:spacing w:after="0" w:line="240" w:lineRule="auto"/>
        <w:jc w:val="center"/>
        <w:rPr>
          <w:b/>
          <w:sz w:val="28"/>
        </w:rPr>
      </w:pPr>
    </w:p>
    <w:p w14:paraId="665B28E2" w14:textId="77777777" w:rsidR="004E5A39" w:rsidRDefault="004E5A39" w:rsidP="004E5A39">
      <w:pPr>
        <w:spacing w:after="0" w:line="240" w:lineRule="auto"/>
        <w:jc w:val="center"/>
        <w:rPr>
          <w:b/>
          <w:sz w:val="28"/>
        </w:rPr>
      </w:pPr>
      <w:r>
        <w:rPr>
          <w:b/>
          <w:sz w:val="28"/>
        </w:rPr>
        <w:t>RELAZIONE PUBBLICA DI VALUTAZIONE</w:t>
      </w:r>
    </w:p>
    <w:p w14:paraId="665B28E3" w14:textId="77777777" w:rsidR="004E5A39" w:rsidRDefault="004E5A39" w:rsidP="004E5A39">
      <w:pPr>
        <w:spacing w:after="0" w:line="240" w:lineRule="auto"/>
        <w:jc w:val="center"/>
        <w:rPr>
          <w:b/>
        </w:rPr>
      </w:pPr>
    </w:p>
    <w:p w14:paraId="665B28E4" w14:textId="77777777" w:rsidR="004E5A39" w:rsidRDefault="004E5A39" w:rsidP="004E5A39">
      <w:pPr>
        <w:spacing w:after="0" w:line="240" w:lineRule="auto"/>
        <w:jc w:val="center"/>
        <w:rPr>
          <w:b/>
        </w:rPr>
      </w:pPr>
    </w:p>
    <w:p w14:paraId="665B28E5" w14:textId="77777777" w:rsidR="004E5A39" w:rsidRDefault="004E5A39" w:rsidP="004E5A39">
      <w:pPr>
        <w:spacing w:after="0" w:line="240" w:lineRule="auto"/>
        <w:jc w:val="center"/>
        <w:rPr>
          <w:b/>
        </w:rPr>
      </w:pPr>
    </w:p>
    <w:p w14:paraId="665B28E6" w14:textId="77777777" w:rsidR="004E5A39" w:rsidRDefault="004E5A39" w:rsidP="004E5A39">
      <w:pPr>
        <w:spacing w:after="0" w:line="240" w:lineRule="auto"/>
        <w:jc w:val="center"/>
        <w:rPr>
          <w:b/>
        </w:rPr>
      </w:pPr>
    </w:p>
    <w:p w14:paraId="665B28E7" w14:textId="77777777" w:rsidR="004E5A39" w:rsidRPr="0033523E" w:rsidRDefault="004E5A39" w:rsidP="004E5A39">
      <w:pPr>
        <w:spacing w:after="0" w:line="240" w:lineRule="auto"/>
        <w:jc w:val="center"/>
        <w:rPr>
          <w:b/>
        </w:rPr>
      </w:pPr>
      <w:r w:rsidRPr="0033523E">
        <w:rPr>
          <w:b/>
        </w:rPr>
        <w:t>INDICE</w:t>
      </w:r>
    </w:p>
    <w:p w14:paraId="665B28E8" w14:textId="77777777" w:rsidR="004E5A39" w:rsidRDefault="004E5A39" w:rsidP="004E5A39">
      <w:pPr>
        <w:spacing w:after="0" w:line="240" w:lineRule="auto"/>
        <w:jc w:val="both"/>
      </w:pPr>
    </w:p>
    <w:p w14:paraId="665B28E9" w14:textId="77777777" w:rsidR="004E5A39" w:rsidRDefault="004E5A39" w:rsidP="004E5A39">
      <w:pPr>
        <w:spacing w:after="0" w:line="240" w:lineRule="auto"/>
        <w:jc w:val="both"/>
      </w:pPr>
    </w:p>
    <w:p w14:paraId="665B28EA" w14:textId="77777777" w:rsidR="004E5A39" w:rsidRDefault="004E5A39" w:rsidP="004E5A39">
      <w:pPr>
        <w:spacing w:after="0" w:line="240" w:lineRule="auto"/>
        <w:jc w:val="both"/>
      </w:pPr>
    </w:p>
    <w:p w14:paraId="665B28EB" w14:textId="77777777" w:rsidR="004E5A39" w:rsidRPr="008206E7" w:rsidRDefault="004E5A39" w:rsidP="004E5A39">
      <w:pPr>
        <w:pStyle w:val="Paragrafoelenco"/>
        <w:numPr>
          <w:ilvl w:val="0"/>
          <w:numId w:val="1"/>
        </w:numPr>
        <w:spacing w:after="0" w:line="240" w:lineRule="auto"/>
        <w:rPr>
          <w:b/>
        </w:rPr>
      </w:pPr>
      <w:r w:rsidRPr="008206E7">
        <w:rPr>
          <w:b/>
        </w:rPr>
        <w:t>INTRODUZIONE</w:t>
      </w:r>
    </w:p>
    <w:p w14:paraId="665B28EC" w14:textId="77777777" w:rsidR="004E5A39" w:rsidRPr="002A3F14" w:rsidRDefault="004E5A39" w:rsidP="004E5A39">
      <w:pPr>
        <w:spacing w:after="0" w:line="240" w:lineRule="auto"/>
        <w:jc w:val="both"/>
      </w:pPr>
    </w:p>
    <w:p w14:paraId="665B28ED" w14:textId="77777777" w:rsidR="004E5A39" w:rsidRDefault="004E5A39" w:rsidP="004E5A39">
      <w:pPr>
        <w:pStyle w:val="Paragrafoelenco"/>
        <w:numPr>
          <w:ilvl w:val="0"/>
          <w:numId w:val="1"/>
        </w:numPr>
        <w:spacing w:after="0" w:line="240" w:lineRule="auto"/>
        <w:jc w:val="both"/>
        <w:rPr>
          <w:b/>
        </w:rPr>
      </w:pPr>
      <w:r>
        <w:rPr>
          <w:b/>
        </w:rPr>
        <w:t xml:space="preserve">ASPETTI DI </w:t>
      </w:r>
      <w:r w:rsidRPr="006B2CC3">
        <w:rPr>
          <w:b/>
        </w:rPr>
        <w:t>QUALITA’</w:t>
      </w:r>
    </w:p>
    <w:p w14:paraId="665B28EE" w14:textId="77777777" w:rsidR="004E5A39" w:rsidRPr="0033523E" w:rsidRDefault="004E5A39" w:rsidP="004E5A39">
      <w:pPr>
        <w:pStyle w:val="Paragrafoelenco"/>
        <w:rPr>
          <w:b/>
        </w:rPr>
      </w:pPr>
    </w:p>
    <w:p w14:paraId="665B28EF" w14:textId="77777777" w:rsidR="004E5A39" w:rsidRDefault="004E5A39" w:rsidP="004E5A39">
      <w:pPr>
        <w:pStyle w:val="Paragrafoelenco"/>
        <w:numPr>
          <w:ilvl w:val="0"/>
          <w:numId w:val="1"/>
        </w:numPr>
        <w:spacing w:after="0" w:line="240" w:lineRule="auto"/>
        <w:jc w:val="both"/>
        <w:rPr>
          <w:b/>
        </w:rPr>
      </w:pPr>
      <w:r w:rsidRPr="00DF7B22">
        <w:rPr>
          <w:b/>
        </w:rPr>
        <w:t>ASPETTI NON CLINICI</w:t>
      </w:r>
    </w:p>
    <w:p w14:paraId="665B28F0" w14:textId="77777777" w:rsidR="004E5A39" w:rsidRPr="0033523E" w:rsidRDefault="004E5A39" w:rsidP="004E5A39">
      <w:pPr>
        <w:pStyle w:val="Paragrafoelenco"/>
        <w:rPr>
          <w:b/>
        </w:rPr>
      </w:pPr>
    </w:p>
    <w:p w14:paraId="665B28F1" w14:textId="77777777" w:rsidR="004E5A39" w:rsidRDefault="004E5A39" w:rsidP="004E5A39">
      <w:pPr>
        <w:pStyle w:val="Paragrafoelenco"/>
        <w:numPr>
          <w:ilvl w:val="0"/>
          <w:numId w:val="1"/>
        </w:numPr>
        <w:spacing w:after="0" w:line="240" w:lineRule="auto"/>
        <w:jc w:val="both"/>
        <w:rPr>
          <w:b/>
        </w:rPr>
      </w:pPr>
      <w:r w:rsidRPr="005A38F5">
        <w:rPr>
          <w:b/>
        </w:rPr>
        <w:t>A</w:t>
      </w:r>
      <w:r>
        <w:rPr>
          <w:b/>
        </w:rPr>
        <w:t>S</w:t>
      </w:r>
      <w:r w:rsidRPr="005A38F5">
        <w:rPr>
          <w:b/>
        </w:rPr>
        <w:t>PETTI CLINICI</w:t>
      </w:r>
    </w:p>
    <w:p w14:paraId="665B28F2" w14:textId="77777777" w:rsidR="004E5A39" w:rsidRPr="0033523E" w:rsidRDefault="004E5A39" w:rsidP="004E5A39">
      <w:pPr>
        <w:pStyle w:val="Paragrafoelenco"/>
        <w:rPr>
          <w:b/>
        </w:rPr>
      </w:pPr>
    </w:p>
    <w:p w14:paraId="665B28F3" w14:textId="77777777" w:rsidR="004E5A39" w:rsidRPr="002E4DCB" w:rsidRDefault="004E5A39" w:rsidP="004E5A39">
      <w:pPr>
        <w:pStyle w:val="Paragrafoelenco"/>
        <w:numPr>
          <w:ilvl w:val="0"/>
          <w:numId w:val="1"/>
        </w:numPr>
        <w:spacing w:after="0" w:line="240" w:lineRule="auto"/>
        <w:jc w:val="both"/>
        <w:rPr>
          <w:b/>
        </w:rPr>
      </w:pPr>
      <w:r w:rsidRPr="002E4DCB">
        <w:rPr>
          <w:b/>
        </w:rPr>
        <w:t xml:space="preserve">CONSULTAZIONE </w:t>
      </w:r>
      <w:r>
        <w:rPr>
          <w:b/>
        </w:rPr>
        <w:t>SUL FOGLIO ILLUSTRATIVO</w:t>
      </w:r>
    </w:p>
    <w:p w14:paraId="665B28F4" w14:textId="77777777" w:rsidR="004E5A39" w:rsidRDefault="004E5A39" w:rsidP="004E5A39">
      <w:pPr>
        <w:pStyle w:val="Paragrafoelenco"/>
        <w:spacing w:after="0" w:line="240" w:lineRule="auto"/>
        <w:ind w:left="1080"/>
        <w:jc w:val="both"/>
        <w:rPr>
          <w:b/>
        </w:rPr>
      </w:pPr>
    </w:p>
    <w:p w14:paraId="665B28F5" w14:textId="77777777" w:rsidR="004E5A39" w:rsidRPr="00BC23ED" w:rsidRDefault="004E5A39" w:rsidP="004E5A39">
      <w:pPr>
        <w:pStyle w:val="Paragrafoelenco"/>
        <w:numPr>
          <w:ilvl w:val="0"/>
          <w:numId w:val="1"/>
        </w:numPr>
        <w:spacing w:after="0" w:line="240" w:lineRule="auto"/>
        <w:jc w:val="both"/>
        <w:rPr>
          <w:b/>
        </w:rPr>
      </w:pPr>
      <w:r w:rsidRPr="00BC23ED">
        <w:rPr>
          <w:b/>
        </w:rPr>
        <w:t>CONCLUSIONI, VALUTAZIONE DEL RAPPORTO BENEFICIO/RISCHIO E RACCOMANDAZIONI</w:t>
      </w:r>
    </w:p>
    <w:p w14:paraId="665B28F6" w14:textId="77777777" w:rsidR="004E5A39" w:rsidRDefault="004E5A39" w:rsidP="004E5A39"/>
    <w:p w14:paraId="665B28F7" w14:textId="77777777" w:rsidR="00DE511D" w:rsidRDefault="00DE511D" w:rsidP="004E5A39">
      <w:r>
        <w:br w:type="page"/>
      </w:r>
    </w:p>
    <w:p w14:paraId="665B28F8" w14:textId="77777777" w:rsidR="004E5A39" w:rsidRPr="00752F7C" w:rsidRDefault="004E5A39" w:rsidP="00EF6711">
      <w:pPr>
        <w:pStyle w:val="Paragrafoelenco"/>
        <w:numPr>
          <w:ilvl w:val="0"/>
          <w:numId w:val="2"/>
        </w:numPr>
        <w:spacing w:after="0" w:line="240" w:lineRule="auto"/>
        <w:rPr>
          <w:b/>
        </w:rPr>
      </w:pPr>
      <w:r w:rsidRPr="00752F7C">
        <w:rPr>
          <w:b/>
        </w:rPr>
        <w:lastRenderedPageBreak/>
        <w:t>INTRODUZIONE</w:t>
      </w:r>
      <w:bookmarkStart w:id="1" w:name="_GoBack"/>
      <w:bookmarkEnd w:id="1"/>
    </w:p>
    <w:p w14:paraId="665B28F9" w14:textId="06F8568E" w:rsidR="004E5A39" w:rsidRPr="00752F7C" w:rsidRDefault="004E5A39" w:rsidP="00EF6711">
      <w:pPr>
        <w:autoSpaceDE w:val="0"/>
        <w:autoSpaceDN w:val="0"/>
        <w:adjustRightInd w:val="0"/>
        <w:spacing w:after="0" w:line="240" w:lineRule="auto"/>
        <w:jc w:val="both"/>
      </w:pPr>
      <w:r w:rsidRPr="00752F7C">
        <w:t xml:space="preserve">Sulla base dei dati di qualità, sicurezza ed efficacia, l’AIFA ha rilasciato a </w:t>
      </w:r>
      <w:proofErr w:type="spellStart"/>
      <w:r w:rsidR="00067BB3" w:rsidRPr="00752F7C">
        <w:t>Genetic</w:t>
      </w:r>
      <w:proofErr w:type="spellEnd"/>
      <w:r w:rsidR="00067BB3" w:rsidRPr="00752F7C">
        <w:t xml:space="preserve"> S.p.A.</w:t>
      </w:r>
      <w:r w:rsidR="00B1186F" w:rsidRPr="00752F7C">
        <w:t xml:space="preserve"> </w:t>
      </w:r>
      <w:r w:rsidRPr="00752F7C">
        <w:t xml:space="preserve">l’autorizzazione all’immissione in commercio (AIC) per il medicinale </w:t>
      </w:r>
      <w:r w:rsidR="009D775A">
        <w:rPr>
          <w:rFonts w:eastAsia="Calibri" w:cs="Calibri"/>
          <w:color w:val="000000"/>
          <w:lang w:eastAsia="it-IT"/>
        </w:rPr>
        <w:t>VAPREDIS</w:t>
      </w:r>
      <w:r w:rsidR="007170D7" w:rsidRPr="00752F7C">
        <w:rPr>
          <w:rFonts w:eastAsia="Calibri" w:cs="Calibri"/>
          <w:bCs/>
          <w:iCs/>
          <w:lang w:eastAsia="it-IT"/>
        </w:rPr>
        <w:t xml:space="preserve"> </w:t>
      </w:r>
      <w:r w:rsidRPr="00752F7C">
        <w:rPr>
          <w:rFonts w:eastAsia="Calibri" w:cs="Calibri"/>
          <w:bCs/>
          <w:iCs/>
          <w:lang w:eastAsia="it-IT"/>
        </w:rPr>
        <w:t xml:space="preserve">il </w:t>
      </w:r>
      <w:r w:rsidR="00360DA8" w:rsidRPr="00DD7E1B">
        <w:rPr>
          <w:rFonts w:eastAsia="Calibri" w:cs="Calibri"/>
          <w:b/>
          <w:bCs/>
          <w:iCs/>
          <w:lang w:eastAsia="it-IT"/>
        </w:rPr>
        <w:t>16 settembre 2024</w:t>
      </w:r>
      <w:r w:rsidR="00360DA8" w:rsidRPr="00752F7C">
        <w:rPr>
          <w:rFonts w:eastAsia="Calibri" w:cs="Calibri"/>
          <w:bCs/>
          <w:iCs/>
          <w:lang w:eastAsia="it-IT"/>
        </w:rPr>
        <w:t>.</w:t>
      </w:r>
    </w:p>
    <w:p w14:paraId="665B28FA" w14:textId="77777777" w:rsidR="004E5A39" w:rsidRPr="00752F7C" w:rsidRDefault="004E5A39" w:rsidP="00EF6711">
      <w:pPr>
        <w:spacing w:after="0" w:line="240" w:lineRule="auto"/>
        <w:jc w:val="both"/>
      </w:pPr>
    </w:p>
    <w:p w14:paraId="665B28FB" w14:textId="799389F8" w:rsidR="004E5A39" w:rsidRDefault="009D775A" w:rsidP="00EF6711">
      <w:pPr>
        <w:autoSpaceDE w:val="0"/>
        <w:autoSpaceDN w:val="0"/>
        <w:adjustRightInd w:val="0"/>
        <w:spacing w:after="0" w:line="240" w:lineRule="auto"/>
        <w:jc w:val="both"/>
        <w:rPr>
          <w:rFonts w:eastAsia="Calibri" w:cs="Calibri"/>
          <w:color w:val="000000"/>
          <w:lang w:eastAsia="it-IT"/>
        </w:rPr>
      </w:pPr>
      <w:r>
        <w:rPr>
          <w:rFonts w:eastAsia="Calibri" w:cs="Calibri"/>
          <w:color w:val="000000"/>
          <w:lang w:eastAsia="it-IT"/>
        </w:rPr>
        <w:t>VAPREDIS</w:t>
      </w:r>
      <w:r w:rsidR="007170D7" w:rsidRPr="00752F7C">
        <w:rPr>
          <w:rFonts w:eastAsia="Calibri" w:cs="Calibri"/>
          <w:bCs/>
          <w:iCs/>
          <w:lang w:eastAsia="it-IT"/>
        </w:rPr>
        <w:t xml:space="preserve"> </w:t>
      </w:r>
      <w:r w:rsidR="00EF6711" w:rsidRPr="00752F7C">
        <w:rPr>
          <w:rFonts w:eastAsia="Calibri" w:cs="Calibri"/>
          <w:color w:val="000000"/>
          <w:lang w:eastAsia="it-IT"/>
        </w:rPr>
        <w:t>può essere ottenuto</w:t>
      </w:r>
      <w:r w:rsidR="00EF6711" w:rsidRPr="00B7597D">
        <w:rPr>
          <w:rFonts w:eastAsia="Calibri" w:cs="Calibri"/>
          <w:color w:val="000000"/>
          <w:lang w:eastAsia="it-IT"/>
        </w:rPr>
        <w:t xml:space="preserve"> solo su </w:t>
      </w:r>
      <w:r w:rsidR="00360DA8">
        <w:rPr>
          <w:rFonts w:eastAsia="Calibri" w:cs="Calibri"/>
          <w:color w:val="000000"/>
          <w:lang w:eastAsia="it-IT"/>
        </w:rPr>
        <w:t>ricetta ripetibile.</w:t>
      </w:r>
    </w:p>
    <w:p w14:paraId="665B28FC" w14:textId="77777777" w:rsidR="00EF6711" w:rsidRPr="00EF6711" w:rsidRDefault="00EF6711" w:rsidP="00EF6711">
      <w:pPr>
        <w:autoSpaceDE w:val="0"/>
        <w:autoSpaceDN w:val="0"/>
        <w:adjustRightInd w:val="0"/>
        <w:spacing w:after="0" w:line="240" w:lineRule="auto"/>
        <w:jc w:val="both"/>
      </w:pPr>
    </w:p>
    <w:p w14:paraId="665B28FD" w14:textId="1112524A" w:rsidR="004E5A39" w:rsidRPr="00EF6711" w:rsidRDefault="004E5A39" w:rsidP="00EF6711">
      <w:pPr>
        <w:spacing w:after="0" w:line="240" w:lineRule="auto"/>
        <w:jc w:val="both"/>
      </w:pPr>
      <w:r w:rsidRPr="00EF6711">
        <w:t xml:space="preserve">Questa procedura è stata presentata ai sensi dell’art. </w:t>
      </w:r>
      <w:r w:rsidR="00E356A8">
        <w:t>10(1)</w:t>
      </w:r>
      <w:r w:rsidRPr="00EF6711">
        <w:t xml:space="preserve"> della Direttiva 2001/83/EU </w:t>
      </w:r>
      <w:proofErr w:type="spellStart"/>
      <w:r w:rsidRPr="00EF6711">
        <w:t>s.m.i.</w:t>
      </w:r>
      <w:proofErr w:type="spellEnd"/>
      <w:r w:rsidR="00F964BE">
        <w:t xml:space="preserve"> (</w:t>
      </w:r>
      <w:proofErr w:type="spellStart"/>
      <w:r w:rsidR="00E356A8" w:rsidRPr="00E356A8">
        <w:rPr>
          <w:i/>
        </w:rPr>
        <w:t>Generic</w:t>
      </w:r>
      <w:proofErr w:type="spellEnd"/>
      <w:r w:rsidR="00E356A8" w:rsidRPr="00E356A8">
        <w:rPr>
          <w:i/>
        </w:rPr>
        <w:t xml:space="preserve"> </w:t>
      </w:r>
      <w:proofErr w:type="spellStart"/>
      <w:r w:rsidR="00E356A8" w:rsidRPr="00E356A8">
        <w:rPr>
          <w:i/>
        </w:rPr>
        <w:t>application</w:t>
      </w:r>
      <w:proofErr w:type="spellEnd"/>
      <w:r w:rsidR="00F964BE">
        <w:t>)</w:t>
      </w:r>
      <w:r w:rsidR="00763162" w:rsidRPr="00655B56">
        <w:t xml:space="preserve"> per il dosaggio da </w:t>
      </w:r>
      <w:r w:rsidR="00763162">
        <w:t>5 e 2</w:t>
      </w:r>
      <w:r w:rsidR="00763162" w:rsidRPr="00655B56">
        <w:t>0 mg e ai sensi dell’art. 10(3) (</w:t>
      </w:r>
      <w:proofErr w:type="spellStart"/>
      <w:r w:rsidR="00763162" w:rsidRPr="00655B56">
        <w:rPr>
          <w:i/>
        </w:rPr>
        <w:t>hybrid</w:t>
      </w:r>
      <w:proofErr w:type="spellEnd"/>
      <w:r w:rsidR="00763162" w:rsidRPr="00655B56">
        <w:rPr>
          <w:i/>
        </w:rPr>
        <w:t xml:space="preserve"> </w:t>
      </w:r>
      <w:proofErr w:type="spellStart"/>
      <w:r w:rsidR="00763162" w:rsidRPr="00655B56">
        <w:rPr>
          <w:i/>
        </w:rPr>
        <w:t>application</w:t>
      </w:r>
      <w:proofErr w:type="spellEnd"/>
      <w:r w:rsidR="00763162" w:rsidRPr="00655B56">
        <w:t xml:space="preserve">) della Direttiva 2001/83/EU </w:t>
      </w:r>
      <w:proofErr w:type="spellStart"/>
      <w:r w:rsidR="00763162" w:rsidRPr="00655B56">
        <w:t>s.m.i.</w:t>
      </w:r>
      <w:proofErr w:type="spellEnd"/>
      <w:r w:rsidR="00763162" w:rsidRPr="00655B56">
        <w:t xml:space="preserve"> per </w:t>
      </w:r>
      <w:r w:rsidR="00763162">
        <w:t>il dosaggio da 25mg</w:t>
      </w:r>
    </w:p>
    <w:p w14:paraId="665B28FE" w14:textId="77777777" w:rsidR="004E5A39" w:rsidRDefault="004E5A39" w:rsidP="00EF6711">
      <w:pPr>
        <w:widowControl w:val="0"/>
        <w:spacing w:after="0" w:line="240" w:lineRule="auto"/>
        <w:jc w:val="both"/>
        <w:rPr>
          <w:rFonts w:eastAsia="Calibri" w:cs="Calibri"/>
          <w:bCs/>
          <w:lang w:eastAsia="it-IT"/>
        </w:rPr>
      </w:pPr>
    </w:p>
    <w:p w14:paraId="665B28FF" w14:textId="038C7926" w:rsidR="004E5A39" w:rsidRPr="00EF6711" w:rsidRDefault="009D775A" w:rsidP="00EF6711">
      <w:pPr>
        <w:widowControl w:val="0"/>
        <w:spacing w:after="0" w:line="240" w:lineRule="auto"/>
        <w:jc w:val="both"/>
        <w:rPr>
          <w:rFonts w:eastAsia="Calibri" w:cs="Calibri"/>
          <w:lang w:eastAsia="it-IT"/>
        </w:rPr>
      </w:pPr>
      <w:r>
        <w:rPr>
          <w:rFonts w:eastAsia="Calibri" w:cs="Calibri"/>
          <w:color w:val="000000"/>
          <w:lang w:eastAsia="it-IT"/>
        </w:rPr>
        <w:t>VAPREDIS</w:t>
      </w:r>
      <w:r w:rsidR="0042214D">
        <w:rPr>
          <w:rFonts w:eastAsia="Calibri" w:cs="Calibri"/>
          <w:color w:val="000000"/>
          <w:lang w:eastAsia="it-IT"/>
        </w:rPr>
        <w:t xml:space="preserve"> </w:t>
      </w:r>
      <w:r w:rsidR="004E5A39" w:rsidRPr="00EF6711">
        <w:rPr>
          <w:rFonts w:eastAsia="Calibri" w:cs="Calibri"/>
          <w:lang w:eastAsia="it-IT"/>
        </w:rPr>
        <w:t xml:space="preserve">è un medicinale contenente un </w:t>
      </w:r>
      <w:r w:rsidR="004E5A39" w:rsidRPr="00E356A8">
        <w:rPr>
          <w:rFonts w:eastAsia="Calibri" w:cs="Calibri"/>
          <w:lang w:eastAsia="it-IT"/>
        </w:rPr>
        <w:t>principio attivo</w:t>
      </w:r>
      <w:r w:rsidR="00C42AAC" w:rsidRPr="00E356A8">
        <w:rPr>
          <w:rFonts w:eastAsia="Calibri" w:cs="Calibri"/>
          <w:lang w:eastAsia="it-IT"/>
        </w:rPr>
        <w:t xml:space="preserve"> </w:t>
      </w:r>
      <w:r w:rsidR="00E356A8" w:rsidRPr="00E356A8">
        <w:rPr>
          <w:rFonts w:eastAsia="Calibri" w:cs="Calibri"/>
          <w:lang w:eastAsia="it-IT"/>
        </w:rPr>
        <w:t>noto, prednisone,</w:t>
      </w:r>
      <w:r w:rsidR="00F964BE" w:rsidRPr="00E356A8">
        <w:rPr>
          <w:rFonts w:eastAsia="Calibri" w:cs="Calibri"/>
          <w:lang w:eastAsia="it-IT"/>
        </w:rPr>
        <w:t xml:space="preserve"> e </w:t>
      </w:r>
      <w:r w:rsidR="004E5A39" w:rsidRPr="00E356A8">
        <w:rPr>
          <w:rFonts w:eastAsia="Calibri" w:cs="Calibri"/>
          <w:lang w:eastAsia="it-IT"/>
        </w:rPr>
        <w:t>present</w:t>
      </w:r>
      <w:r w:rsidR="00C42AAC" w:rsidRPr="00E356A8">
        <w:rPr>
          <w:rFonts w:eastAsia="Calibri" w:cs="Calibri"/>
          <w:lang w:eastAsia="it-IT"/>
        </w:rPr>
        <w:t>e</w:t>
      </w:r>
      <w:r w:rsidR="004E5A39" w:rsidRPr="00E356A8">
        <w:rPr>
          <w:rFonts w:eastAsia="Calibri" w:cs="Calibri"/>
          <w:lang w:eastAsia="it-IT"/>
        </w:rPr>
        <w:t xml:space="preserve"> nel medicinale di riferimento </w:t>
      </w:r>
      <w:proofErr w:type="spellStart"/>
      <w:r w:rsidR="00E356A8" w:rsidRPr="00E356A8">
        <w:rPr>
          <w:rFonts w:eastAsia="Calibri" w:cs="Calibri"/>
          <w:lang w:eastAsia="it-IT"/>
        </w:rPr>
        <w:t>Decortin</w:t>
      </w:r>
      <w:proofErr w:type="spellEnd"/>
      <w:r w:rsidR="0042214D" w:rsidRPr="00E356A8">
        <w:rPr>
          <w:rFonts w:eastAsia="Calibri" w:cs="Calibri"/>
          <w:lang w:eastAsia="it-IT"/>
        </w:rPr>
        <w:t xml:space="preserve"> aut</w:t>
      </w:r>
      <w:r w:rsidR="004E5A39" w:rsidRPr="00E356A8">
        <w:rPr>
          <w:rFonts w:eastAsia="Calibri" w:cs="Calibri"/>
          <w:lang w:eastAsia="it-IT"/>
        </w:rPr>
        <w:t xml:space="preserve">orizzato </w:t>
      </w:r>
      <w:r w:rsidR="00E356A8" w:rsidRPr="00E356A8">
        <w:rPr>
          <w:rFonts w:eastAsia="Calibri" w:cs="Calibri"/>
          <w:lang w:eastAsia="it-IT"/>
        </w:rPr>
        <w:t xml:space="preserve">nell’Unione Europea </w:t>
      </w:r>
      <w:r w:rsidR="004E5A39" w:rsidRPr="00E356A8">
        <w:rPr>
          <w:rFonts w:eastAsia="Calibri" w:cs="Calibri"/>
          <w:lang w:eastAsia="it-IT"/>
        </w:rPr>
        <w:t xml:space="preserve">da più di </w:t>
      </w:r>
      <w:r w:rsidR="007D2539" w:rsidRPr="00E356A8">
        <w:rPr>
          <w:rFonts w:eastAsia="Calibri" w:cs="Calibri"/>
          <w:lang w:eastAsia="it-IT"/>
        </w:rPr>
        <w:t xml:space="preserve">8 </w:t>
      </w:r>
      <w:r w:rsidR="004E5A39" w:rsidRPr="00E356A8">
        <w:rPr>
          <w:rFonts w:eastAsia="Calibri" w:cs="Calibri"/>
          <w:lang w:eastAsia="it-IT"/>
        </w:rPr>
        <w:t>anni</w:t>
      </w:r>
      <w:r w:rsidR="00F76F77" w:rsidRPr="00E356A8">
        <w:rPr>
          <w:rFonts w:eastAsia="Calibri" w:cs="Calibri"/>
          <w:lang w:eastAsia="it-IT"/>
        </w:rPr>
        <w:t>.</w:t>
      </w:r>
    </w:p>
    <w:p w14:paraId="665B2900" w14:textId="77777777" w:rsidR="004E5A39" w:rsidRPr="00EF6711" w:rsidRDefault="004E5A39" w:rsidP="00EF6711">
      <w:pPr>
        <w:spacing w:after="0" w:line="240" w:lineRule="auto"/>
        <w:jc w:val="both"/>
        <w:rPr>
          <w:highlight w:val="yellow"/>
        </w:rPr>
      </w:pPr>
    </w:p>
    <w:p w14:paraId="665B2901" w14:textId="6F33C70B" w:rsidR="00EF6711" w:rsidRDefault="009D775A" w:rsidP="00EF6711">
      <w:pPr>
        <w:tabs>
          <w:tab w:val="left" w:pos="0"/>
        </w:tabs>
        <w:overflowPunct w:val="0"/>
        <w:autoSpaceDE w:val="0"/>
        <w:autoSpaceDN w:val="0"/>
        <w:adjustRightInd w:val="0"/>
        <w:spacing w:after="0" w:line="240" w:lineRule="auto"/>
        <w:jc w:val="both"/>
        <w:textAlignment w:val="baseline"/>
        <w:rPr>
          <w:rFonts w:eastAsia="Calibri" w:cs="Calibri"/>
          <w:lang w:eastAsia="it-IT"/>
        </w:rPr>
      </w:pPr>
      <w:r>
        <w:rPr>
          <w:rFonts w:eastAsia="Calibri" w:cs="Calibri"/>
          <w:color w:val="000000"/>
          <w:lang w:eastAsia="it-IT"/>
        </w:rPr>
        <w:t>VAPREDIS</w:t>
      </w:r>
      <w:r w:rsidR="004E5A39" w:rsidRPr="00EF6711">
        <w:rPr>
          <w:rFonts w:eastAsia="Calibri" w:cs="Calibri"/>
          <w:bCs/>
          <w:lang w:eastAsia="it-IT"/>
        </w:rPr>
        <w:t xml:space="preserve">, </w:t>
      </w:r>
      <w:r w:rsidR="004E5A39" w:rsidRPr="00EF6711">
        <w:t>il cui c</w:t>
      </w:r>
      <w:r w:rsidR="004E5A39" w:rsidRPr="00EF6711">
        <w:rPr>
          <w:iCs/>
        </w:rPr>
        <w:t xml:space="preserve">odice ATC è </w:t>
      </w:r>
      <w:r w:rsidR="00391A2D" w:rsidRPr="00BB74CD">
        <w:t>H02AB07</w:t>
      </w:r>
      <w:r w:rsidR="004E5A39" w:rsidRPr="00EF6711">
        <w:rPr>
          <w:rFonts w:eastAsia="DejaVuSans" w:cs="DejaVuSans"/>
        </w:rPr>
        <w:t>,</w:t>
      </w:r>
      <w:r w:rsidR="004E5A39" w:rsidRPr="00EF6711">
        <w:rPr>
          <w:rFonts w:eastAsia="Calibri" w:cs="Calibri"/>
          <w:bCs/>
          <w:lang w:eastAsia="it-IT"/>
        </w:rPr>
        <w:t xml:space="preserve"> </w:t>
      </w:r>
      <w:r w:rsidR="004E5A39" w:rsidRPr="00EF6711">
        <w:rPr>
          <w:rFonts w:eastAsia="Calibri" w:cs="Calibri"/>
          <w:lang w:eastAsia="it-IT"/>
        </w:rPr>
        <w:t xml:space="preserve">contiene </w:t>
      </w:r>
      <w:r w:rsidR="00C42AAC" w:rsidRPr="00EF6711">
        <w:rPr>
          <w:rFonts w:eastAsia="Calibri" w:cs="Calibri"/>
          <w:lang w:eastAsia="it-IT"/>
        </w:rPr>
        <w:t>il</w:t>
      </w:r>
      <w:r w:rsidR="004E5A39" w:rsidRPr="00EF6711">
        <w:rPr>
          <w:rFonts w:eastAsia="Calibri" w:cs="Calibri"/>
          <w:lang w:eastAsia="it-IT"/>
        </w:rPr>
        <w:t xml:space="preserve"> principi</w:t>
      </w:r>
      <w:r w:rsidR="00C42AAC" w:rsidRPr="00EF6711">
        <w:rPr>
          <w:rFonts w:eastAsia="Calibri" w:cs="Calibri"/>
          <w:lang w:eastAsia="it-IT"/>
        </w:rPr>
        <w:t>o</w:t>
      </w:r>
      <w:r w:rsidR="004E5A39" w:rsidRPr="00EF6711">
        <w:rPr>
          <w:rFonts w:eastAsia="Calibri" w:cs="Calibri"/>
          <w:lang w:eastAsia="it-IT"/>
        </w:rPr>
        <w:t xml:space="preserve"> attiv</w:t>
      </w:r>
      <w:r w:rsidR="00C42AAC" w:rsidRPr="00EF6711">
        <w:rPr>
          <w:rFonts w:eastAsia="Calibri" w:cs="Calibri"/>
          <w:lang w:eastAsia="it-IT"/>
        </w:rPr>
        <w:t>o</w:t>
      </w:r>
      <w:r w:rsidR="004E5A39" w:rsidRPr="00EF6711">
        <w:rPr>
          <w:rFonts w:eastAsia="Calibri" w:cs="Calibri"/>
          <w:lang w:eastAsia="it-IT"/>
        </w:rPr>
        <w:t xml:space="preserve"> </w:t>
      </w:r>
      <w:r w:rsidR="00391A2D">
        <w:rPr>
          <w:rFonts w:eastAsia="Calibri" w:cs="Calibri"/>
          <w:lang w:eastAsia="it-IT"/>
        </w:rPr>
        <w:t>prednisone</w:t>
      </w:r>
      <w:r w:rsidR="00C77C09">
        <w:rPr>
          <w:rFonts w:eastAsia="Calibri" w:cs="Calibri"/>
          <w:lang w:eastAsia="it-IT"/>
        </w:rPr>
        <w:t xml:space="preserve">. </w:t>
      </w:r>
    </w:p>
    <w:p w14:paraId="665B2902"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Il prednisone influisce sul metabolismo di quasi tutti i tessuti in modo dose-dipendente. In ambito fisiologico, questo effetto è vitale per mantenere l'omeostasi dell'organismo a riposo e sotto sforzo, nonché per regolare le attività del sistema immunitario.</w:t>
      </w:r>
    </w:p>
    <w:p w14:paraId="665B2903" w14:textId="77777777" w:rsidR="00C77C09" w:rsidRDefault="00C77C09" w:rsidP="00C77C09">
      <w:pPr>
        <w:tabs>
          <w:tab w:val="left" w:pos="0"/>
        </w:tabs>
        <w:overflowPunct w:val="0"/>
        <w:autoSpaceDE w:val="0"/>
        <w:autoSpaceDN w:val="0"/>
        <w:adjustRightInd w:val="0"/>
        <w:spacing w:after="0" w:line="240" w:lineRule="auto"/>
        <w:jc w:val="both"/>
        <w:textAlignment w:val="baseline"/>
      </w:pPr>
    </w:p>
    <w:p w14:paraId="665B2904"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 xml:space="preserve">In caso di insufficienza della corteccia surrenale, il prednisone può sostituire l’idrocortisone endogeno. Influenza nell’equilibrio metabolico il metabolismo di carboidrati, proteine e grassi. Con riferimento all’efficacia della dose, 5 mg di prednisone corrispondono a 20 mg di idrocortisone. A causa dell’effetto </w:t>
      </w:r>
      <w:proofErr w:type="spellStart"/>
      <w:r>
        <w:t>mineralcorticoide</w:t>
      </w:r>
      <w:proofErr w:type="spellEnd"/>
      <w:r>
        <w:t xml:space="preserve"> limitato del prednisone, in caso di insufficienza cortico-surrenale, nella terapia sostitutiva è necessaria una somministrazione di un </w:t>
      </w:r>
      <w:proofErr w:type="spellStart"/>
      <w:r>
        <w:t>mineralcorticoide</w:t>
      </w:r>
      <w:proofErr w:type="spellEnd"/>
      <w:r>
        <w:t xml:space="preserve"> aggiuntivo.</w:t>
      </w:r>
    </w:p>
    <w:p w14:paraId="665B2905" w14:textId="77777777" w:rsidR="00C77C09" w:rsidRDefault="00C77C09" w:rsidP="00C77C09">
      <w:pPr>
        <w:tabs>
          <w:tab w:val="left" w:pos="0"/>
        </w:tabs>
        <w:overflowPunct w:val="0"/>
        <w:autoSpaceDE w:val="0"/>
        <w:autoSpaceDN w:val="0"/>
        <w:adjustRightInd w:val="0"/>
        <w:spacing w:after="0" w:line="240" w:lineRule="auto"/>
        <w:jc w:val="both"/>
        <w:textAlignment w:val="baseline"/>
      </w:pPr>
    </w:p>
    <w:p w14:paraId="665B2906"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 xml:space="preserve">Nella sindrome adrenogenitale, il prednisone sostituisce il cortisolo mancante a causa di un difetto di un enzima e inibisce l’eccessiva sintesi di corticotropina ipofisaria così come l’eccessiva sintesi di androgeni da parte della corteccia surrenale. Se il difetto enzimatico ha effetti anche sulla sintesi dei </w:t>
      </w:r>
      <w:proofErr w:type="spellStart"/>
      <w:r>
        <w:t>mineralcorticoidi</w:t>
      </w:r>
      <w:proofErr w:type="spellEnd"/>
      <w:r>
        <w:t>, deve essere fornita una terapia sostitutiva aggiuntiva.</w:t>
      </w:r>
    </w:p>
    <w:p w14:paraId="665B2907" w14:textId="77777777" w:rsidR="00C77C09" w:rsidRDefault="00C77C09" w:rsidP="00C77C09">
      <w:pPr>
        <w:tabs>
          <w:tab w:val="left" w:pos="0"/>
        </w:tabs>
        <w:overflowPunct w:val="0"/>
        <w:autoSpaceDE w:val="0"/>
        <w:autoSpaceDN w:val="0"/>
        <w:adjustRightInd w:val="0"/>
        <w:spacing w:after="0" w:line="240" w:lineRule="auto"/>
        <w:jc w:val="both"/>
        <w:textAlignment w:val="baseline"/>
      </w:pPr>
    </w:p>
    <w:p w14:paraId="665B2908"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A dosi più elevate di quelle necessarie per la terapia sostitutiva, il prednisone ha un rapido effetto antiflogistico (</w:t>
      </w:r>
      <w:proofErr w:type="spellStart"/>
      <w:r>
        <w:t>antiessudativo</w:t>
      </w:r>
      <w:proofErr w:type="spellEnd"/>
      <w:r>
        <w:t xml:space="preserve"> e </w:t>
      </w:r>
      <w:proofErr w:type="spellStart"/>
      <w:r>
        <w:t>antiproliferativo</w:t>
      </w:r>
      <w:proofErr w:type="spellEnd"/>
      <w:r>
        <w:t>) e successivamente un effetto immunosoppressivo. Inibisce la chemiotassi e l’attività delle cellule del sistema immunitario nonché gli effetti di rilascio e mediazione sulle reazioni infiammatorie e immunitarie, ad esempio enzimi lisosomiali, prostaglandine e leucotrieni. Nell’ostruzione bronchiale, il prednisone aumenta l’effetto dei broncodilatatori bet</w:t>
      </w:r>
      <w:r w:rsidR="00752F7C">
        <w:t>amimetici (effetto permissivo).</w:t>
      </w:r>
    </w:p>
    <w:p w14:paraId="665B2909"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Il trattamento prolungato con dosi elevate di prednisone conduce a involuzione del sistema immunitario e della corteccia surrenale.</w:t>
      </w:r>
    </w:p>
    <w:p w14:paraId="665B290A" w14:textId="77777777" w:rsidR="00C77C09" w:rsidRDefault="00C77C09" w:rsidP="00C77C09">
      <w:pPr>
        <w:tabs>
          <w:tab w:val="left" w:pos="0"/>
        </w:tabs>
        <w:overflowPunct w:val="0"/>
        <w:autoSpaceDE w:val="0"/>
        <w:autoSpaceDN w:val="0"/>
        <w:adjustRightInd w:val="0"/>
        <w:spacing w:after="0" w:line="240" w:lineRule="auto"/>
        <w:jc w:val="both"/>
        <w:textAlignment w:val="baseline"/>
      </w:pPr>
    </w:p>
    <w:p w14:paraId="665B290B"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 xml:space="preserve">L’effetto </w:t>
      </w:r>
      <w:proofErr w:type="spellStart"/>
      <w:r>
        <w:t>mineraltropico</w:t>
      </w:r>
      <w:proofErr w:type="spellEnd"/>
      <w:r>
        <w:t xml:space="preserve"> indotto dall’idrocortisone, rilevabile anche con prednisone, può rendere necessario il monitoraggio degli elettroliti sierici.</w:t>
      </w:r>
    </w:p>
    <w:p w14:paraId="665B290C" w14:textId="77777777" w:rsidR="00C77C09" w:rsidRDefault="00C77C09" w:rsidP="00C77C09">
      <w:pPr>
        <w:tabs>
          <w:tab w:val="left" w:pos="0"/>
        </w:tabs>
        <w:overflowPunct w:val="0"/>
        <w:autoSpaceDE w:val="0"/>
        <w:autoSpaceDN w:val="0"/>
        <w:adjustRightInd w:val="0"/>
        <w:spacing w:after="0" w:line="240" w:lineRule="auto"/>
        <w:jc w:val="both"/>
        <w:textAlignment w:val="baseline"/>
      </w:pPr>
      <w:r>
        <w:t>L'effetto del prednisone sull'ostruzione delle vie aeree si basa principalmente sull'inibizione dei processi infiammatori, sulla soppressione o sulla prevenzione dell'edema della mucosa, sull'inibizione della costrizione bronchiale, sull'inibizione o sulla restrizione della produzione di muco e sulla riduzione della viscosità del muco.</w:t>
      </w:r>
    </w:p>
    <w:p w14:paraId="665B290D" w14:textId="77777777" w:rsidR="00C77C09" w:rsidRDefault="00C77C09" w:rsidP="00C77C09">
      <w:pPr>
        <w:pStyle w:val="Corpotesto"/>
        <w:jc w:val="both"/>
        <w:rPr>
          <w:rFonts w:asciiTheme="minorHAnsi" w:eastAsiaTheme="minorHAnsi" w:hAnsiTheme="minorHAnsi" w:cs="Arial"/>
        </w:rPr>
      </w:pPr>
    </w:p>
    <w:p w14:paraId="665B290E" w14:textId="1E3E279F" w:rsidR="00C77C09" w:rsidRDefault="00C77C09" w:rsidP="00C77C09">
      <w:pPr>
        <w:pStyle w:val="Corpotesto"/>
        <w:jc w:val="both"/>
        <w:rPr>
          <w:rFonts w:asciiTheme="minorHAnsi" w:eastAsiaTheme="minorHAnsi" w:hAnsiTheme="minorHAnsi" w:cs="Arial"/>
        </w:rPr>
      </w:pPr>
      <w:r w:rsidRPr="00C77C09">
        <w:rPr>
          <w:rFonts w:asciiTheme="minorHAnsi" w:eastAsiaTheme="minorHAnsi" w:hAnsiTheme="minorHAnsi" w:cs="Arial"/>
        </w:rPr>
        <w:t xml:space="preserve">Le compresse di </w:t>
      </w:r>
      <w:r w:rsidR="009D775A">
        <w:rPr>
          <w:rFonts w:asciiTheme="minorHAnsi" w:eastAsiaTheme="minorHAnsi" w:hAnsiTheme="minorHAnsi" w:cs="Arial"/>
        </w:rPr>
        <w:t>VAPREDIS</w:t>
      </w:r>
      <w:r w:rsidRPr="00C77C09">
        <w:rPr>
          <w:rFonts w:asciiTheme="minorHAnsi" w:eastAsiaTheme="minorHAnsi" w:hAnsiTheme="minorHAnsi" w:cs="Arial"/>
        </w:rPr>
        <w:t xml:space="preserve"> 5 mg /20 mg /25 mg sono indicate per il trattamento di malattie che richiedono una terapia sistemica con </w:t>
      </w:r>
      <w:proofErr w:type="spellStart"/>
      <w:r w:rsidRPr="00C77C09">
        <w:rPr>
          <w:rFonts w:asciiTheme="minorHAnsi" w:eastAsiaTheme="minorHAnsi" w:hAnsiTheme="minorHAnsi" w:cs="Arial"/>
        </w:rPr>
        <w:t>glucocorticoidi</w:t>
      </w:r>
      <w:proofErr w:type="spellEnd"/>
      <w:r w:rsidRPr="00C77C09">
        <w:rPr>
          <w:rFonts w:asciiTheme="minorHAnsi" w:eastAsiaTheme="minorHAnsi" w:hAnsiTheme="minorHAnsi" w:cs="Arial"/>
        </w:rPr>
        <w:t xml:space="preserve">. </w:t>
      </w:r>
    </w:p>
    <w:p w14:paraId="665B290F" w14:textId="77777777" w:rsidR="00C77C09" w:rsidRDefault="00C77C09" w:rsidP="00C77C09">
      <w:pPr>
        <w:pStyle w:val="Corpotesto"/>
        <w:jc w:val="both"/>
        <w:rPr>
          <w:rFonts w:asciiTheme="minorHAnsi" w:eastAsiaTheme="minorHAnsi" w:hAnsiTheme="minorHAnsi" w:cs="Arial"/>
        </w:rPr>
      </w:pPr>
    </w:p>
    <w:p w14:paraId="665B2910" w14:textId="1D6446B0" w:rsidR="00C77C09" w:rsidRPr="00C76404" w:rsidRDefault="009D775A" w:rsidP="00C76404">
      <w:pPr>
        <w:tabs>
          <w:tab w:val="left" w:pos="0"/>
        </w:tabs>
        <w:overflowPunct w:val="0"/>
        <w:autoSpaceDE w:val="0"/>
        <w:autoSpaceDN w:val="0"/>
        <w:adjustRightInd w:val="0"/>
        <w:spacing w:after="0" w:line="240" w:lineRule="auto"/>
        <w:jc w:val="both"/>
        <w:textAlignment w:val="baseline"/>
      </w:pPr>
      <w:r>
        <w:rPr>
          <w:rFonts w:cs="Arial"/>
        </w:rPr>
        <w:t>VAPREDIS</w:t>
      </w:r>
      <w:r w:rsidR="00C77C09" w:rsidRPr="00607A60">
        <w:rPr>
          <w:rFonts w:cs="Arial"/>
        </w:rPr>
        <w:t xml:space="preserve"> è usato negli adulti, nei bambini di tutte le età e negli adolescenti</w:t>
      </w:r>
      <w:r w:rsidR="00B779DA">
        <w:rPr>
          <w:rFonts w:cs="Arial"/>
        </w:rPr>
        <w:t xml:space="preserve"> </w:t>
      </w:r>
      <w:r w:rsidR="00B779DA">
        <w:t xml:space="preserve">ed </w:t>
      </w:r>
      <w:r w:rsidR="00B779DA" w:rsidRPr="009326D7">
        <w:t xml:space="preserve">è indicato per il trattamento di patologie che richiedono una terapia sistemica con </w:t>
      </w:r>
      <w:proofErr w:type="spellStart"/>
      <w:r w:rsidR="00B779DA" w:rsidRPr="009326D7">
        <w:t>glucocorticoidi</w:t>
      </w:r>
      <w:proofErr w:type="spellEnd"/>
      <w:r w:rsidR="00B779DA" w:rsidRPr="009326D7">
        <w:t>, tra cui le seguenti in base al tipo e alla gravità:</w:t>
      </w:r>
    </w:p>
    <w:p w14:paraId="665B2911" w14:textId="77777777" w:rsidR="00C77C09" w:rsidRDefault="00C77C09" w:rsidP="00C77C09">
      <w:pPr>
        <w:pStyle w:val="Corpotesto"/>
        <w:jc w:val="both"/>
        <w:rPr>
          <w:rFonts w:asciiTheme="minorHAnsi" w:eastAsiaTheme="minorHAnsi" w:hAnsiTheme="minorHAnsi" w:cs="Arial"/>
        </w:rPr>
      </w:pPr>
    </w:p>
    <w:p w14:paraId="665B2912" w14:textId="77777777" w:rsidR="00C77C09" w:rsidRPr="00594742" w:rsidRDefault="00C77C09" w:rsidP="00C77C09">
      <w:pPr>
        <w:pStyle w:val="Titolo2"/>
        <w:ind w:left="0"/>
        <w:jc w:val="both"/>
        <w:rPr>
          <w:rFonts w:asciiTheme="minorHAnsi" w:hAnsiTheme="minorHAnsi" w:cs="Arial"/>
          <w:bCs w:val="0"/>
          <w:color w:val="000000"/>
          <w:lang w:eastAsia="it-IT"/>
        </w:rPr>
      </w:pPr>
      <w:r w:rsidRPr="00594742">
        <w:rPr>
          <w:rFonts w:asciiTheme="minorHAnsi" w:hAnsiTheme="minorHAnsi" w:cs="Arial"/>
          <w:bCs w:val="0"/>
          <w:color w:val="000000"/>
          <w:lang w:eastAsia="it-IT"/>
        </w:rPr>
        <w:t>Terapia sostitutiva:</w:t>
      </w:r>
    </w:p>
    <w:p w14:paraId="665B2913"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Insufficienza </w:t>
      </w:r>
      <w:proofErr w:type="spellStart"/>
      <w:r w:rsidRPr="00C53271">
        <w:rPr>
          <w:rFonts w:eastAsia="Times New Roman" w:cs="Arial"/>
          <w:bCs/>
          <w:color w:val="000000"/>
          <w:lang w:eastAsia="it-IT"/>
        </w:rPr>
        <w:t>corticosurrenalica</w:t>
      </w:r>
      <w:proofErr w:type="spellEnd"/>
      <w:r w:rsidRPr="00C53271">
        <w:rPr>
          <w:rFonts w:eastAsia="Times New Roman" w:cs="Arial"/>
          <w:bCs/>
          <w:color w:val="000000"/>
          <w:lang w:eastAsia="it-IT"/>
        </w:rPr>
        <w:t xml:space="preserve"> di qualsiasi genesi (ad es. morbo di Addison, sindrome adrenogenitale, </w:t>
      </w:r>
      <w:proofErr w:type="spellStart"/>
      <w:r w:rsidRPr="00C53271">
        <w:rPr>
          <w:rFonts w:eastAsia="Times New Roman" w:cs="Arial"/>
          <w:bCs/>
          <w:color w:val="000000"/>
          <w:lang w:eastAsia="it-IT"/>
        </w:rPr>
        <w:t>surrenectomia</w:t>
      </w:r>
      <w:proofErr w:type="spellEnd"/>
      <w:r w:rsidRPr="00C53271">
        <w:rPr>
          <w:rFonts w:eastAsia="Times New Roman" w:cs="Arial"/>
          <w:bCs/>
          <w:color w:val="000000"/>
          <w:lang w:eastAsia="it-IT"/>
        </w:rPr>
        <w:t xml:space="preserve">, deficit di ACTH) oltre l'età di crescita (gli agenti di prima linea sono l'idrocortisone e il </w:t>
      </w:r>
      <w:r w:rsidRPr="00C53271">
        <w:rPr>
          <w:rFonts w:eastAsia="Times New Roman" w:cs="Arial"/>
          <w:bCs/>
          <w:color w:val="000000"/>
          <w:lang w:eastAsia="it-IT"/>
        </w:rPr>
        <w:lastRenderedPageBreak/>
        <w:t>cortisone)</w:t>
      </w:r>
    </w:p>
    <w:p w14:paraId="665B2914"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Stati di stress dopo la terapia corticoide a lungo termine</w:t>
      </w:r>
    </w:p>
    <w:p w14:paraId="665B2915" w14:textId="77777777" w:rsidR="00C77C09" w:rsidRPr="00283D6F" w:rsidRDefault="00C77C09" w:rsidP="00C77C09">
      <w:pPr>
        <w:pStyle w:val="Titolo2"/>
        <w:ind w:left="0"/>
        <w:jc w:val="both"/>
        <w:rPr>
          <w:rFonts w:asciiTheme="minorHAnsi" w:hAnsiTheme="minorHAnsi" w:cs="Arial"/>
          <w:bCs w:val="0"/>
          <w:color w:val="000000"/>
          <w:lang w:eastAsia="it-IT"/>
        </w:rPr>
      </w:pPr>
      <w:r w:rsidRPr="00283D6F">
        <w:rPr>
          <w:rFonts w:asciiTheme="minorHAnsi" w:hAnsiTheme="minorHAnsi" w:cs="Arial"/>
          <w:bCs w:val="0"/>
          <w:color w:val="000000"/>
          <w:lang w:eastAsia="it-IT"/>
        </w:rPr>
        <w:t>Reumatologia:</w:t>
      </w:r>
    </w:p>
    <w:p w14:paraId="665B2916"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Fasi attive della </w:t>
      </w:r>
      <w:proofErr w:type="spellStart"/>
      <w:r w:rsidRPr="00C53271">
        <w:rPr>
          <w:rFonts w:eastAsia="Times New Roman" w:cs="Arial"/>
          <w:bCs/>
          <w:color w:val="000000"/>
          <w:lang w:eastAsia="it-IT"/>
        </w:rPr>
        <w:t>vasculite</w:t>
      </w:r>
      <w:proofErr w:type="spellEnd"/>
      <w:r w:rsidRPr="00C53271">
        <w:rPr>
          <w:rFonts w:eastAsia="Times New Roman" w:cs="Arial"/>
          <w:bCs/>
          <w:color w:val="000000"/>
          <w:lang w:eastAsia="it-IT"/>
        </w:rPr>
        <w:t xml:space="preserve"> sistemica:</w:t>
      </w:r>
    </w:p>
    <w:p w14:paraId="665B2917" w14:textId="29A0317D"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Panarterite</w:t>
      </w:r>
      <w:proofErr w:type="spellEnd"/>
      <w:r w:rsidRPr="00C53271">
        <w:rPr>
          <w:rFonts w:eastAsia="Times New Roman" w:cs="Arial"/>
          <w:bCs/>
          <w:color w:val="000000"/>
          <w:lang w:eastAsia="it-IT"/>
        </w:rPr>
        <w:t xml:space="preserve"> nodosa (durata del trattamento limitata a due settimane in caso di sierologia positiva per l'epatite B)</w:t>
      </w:r>
    </w:p>
    <w:p w14:paraId="665B2918" w14:textId="01974601"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Arterite a cellule giganti, </w:t>
      </w:r>
      <w:proofErr w:type="spellStart"/>
      <w:r w:rsidRPr="00C53271">
        <w:rPr>
          <w:rFonts w:eastAsia="Times New Roman" w:cs="Arial"/>
          <w:bCs/>
          <w:color w:val="000000"/>
          <w:lang w:eastAsia="it-IT"/>
        </w:rPr>
        <w:t>Polimialgia</w:t>
      </w:r>
      <w:proofErr w:type="spellEnd"/>
      <w:r w:rsidRPr="00C53271">
        <w:rPr>
          <w:rFonts w:eastAsia="Times New Roman" w:cs="Arial"/>
          <w:bCs/>
          <w:color w:val="000000"/>
          <w:lang w:eastAsia="it-IT"/>
        </w:rPr>
        <w:t xml:space="preserve"> reumatica</w:t>
      </w:r>
    </w:p>
    <w:p w14:paraId="665B2919" w14:textId="236553AE"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Arterite temporale (in caso di perdita acuta della visione inizialmente terapia d'urto endovenosa ad alte dosi con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intermittente (</w:t>
      </w:r>
      <w:proofErr w:type="spellStart"/>
      <w:r w:rsidRPr="00C53271">
        <w:rPr>
          <w:rFonts w:eastAsia="Times New Roman" w:cs="Arial"/>
          <w:bCs/>
          <w:color w:val="000000"/>
          <w:lang w:eastAsia="it-IT"/>
        </w:rPr>
        <w:t>pulse</w:t>
      </w:r>
      <w:proofErr w:type="spellEnd"/>
      <w:r w:rsidRPr="00C53271">
        <w:rPr>
          <w:rFonts w:eastAsia="Times New Roman" w:cs="Arial"/>
          <w:bCs/>
          <w:color w:val="000000"/>
          <w:lang w:eastAsia="it-IT"/>
        </w:rPr>
        <w:t xml:space="preserve"> </w:t>
      </w:r>
      <w:proofErr w:type="spellStart"/>
      <w:r w:rsidRPr="00C53271">
        <w:rPr>
          <w:rFonts w:eastAsia="Times New Roman" w:cs="Arial"/>
          <w:bCs/>
          <w:color w:val="000000"/>
          <w:lang w:eastAsia="it-IT"/>
        </w:rPr>
        <w:t>therapy</w:t>
      </w:r>
      <w:proofErr w:type="spellEnd"/>
      <w:r w:rsidRPr="00C53271">
        <w:rPr>
          <w:rFonts w:eastAsia="Times New Roman" w:cs="Arial"/>
          <w:bCs/>
          <w:color w:val="000000"/>
          <w:lang w:eastAsia="it-IT"/>
        </w:rPr>
        <w:t>) e terapia di mantenimento a lungo termine sotto il controllo della VES)</w:t>
      </w:r>
    </w:p>
    <w:p w14:paraId="665B291A" w14:textId="424215E9"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Granulomatosi di </w:t>
      </w:r>
      <w:proofErr w:type="spellStart"/>
      <w:r w:rsidRPr="00C53271">
        <w:rPr>
          <w:rFonts w:eastAsia="Times New Roman" w:cs="Arial"/>
          <w:bCs/>
          <w:color w:val="000000"/>
          <w:lang w:eastAsia="it-IT"/>
        </w:rPr>
        <w:t>Wegener</w:t>
      </w:r>
      <w:proofErr w:type="spellEnd"/>
      <w:r w:rsidRPr="00C53271">
        <w:rPr>
          <w:rFonts w:eastAsia="Times New Roman" w:cs="Arial"/>
          <w:bCs/>
          <w:color w:val="000000"/>
          <w:lang w:eastAsia="it-IT"/>
        </w:rPr>
        <w:t xml:space="preserve">: terapia di induzione in combinazione con </w:t>
      </w:r>
      <w:proofErr w:type="spellStart"/>
      <w:r w:rsidRPr="00C53271">
        <w:rPr>
          <w:rFonts w:eastAsia="Times New Roman" w:cs="Arial"/>
          <w:bCs/>
          <w:color w:val="000000"/>
          <w:lang w:eastAsia="it-IT"/>
        </w:rPr>
        <w:t>metotrexato</w:t>
      </w:r>
      <w:proofErr w:type="spellEnd"/>
      <w:r w:rsidRPr="00C53271">
        <w:rPr>
          <w:rFonts w:eastAsia="Times New Roman" w:cs="Arial"/>
          <w:bCs/>
          <w:color w:val="000000"/>
          <w:lang w:eastAsia="it-IT"/>
        </w:rPr>
        <w:t xml:space="preserve"> (forme lievi senza coinvolgimento renale) o secondo lo schema Fauci (forme gravi con coinvolgimento renale e/o polmonare), mantenimento della remissione: (diminuendo la dose gradualmente fino alla sospensione) in combinazione con immunosoppressori</w:t>
      </w:r>
    </w:p>
    <w:p w14:paraId="665B291B" w14:textId="591BF98A"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Sindrome di </w:t>
      </w:r>
      <w:proofErr w:type="spellStart"/>
      <w:r w:rsidRPr="00C53271">
        <w:rPr>
          <w:rFonts w:eastAsia="Times New Roman" w:cs="Arial"/>
          <w:bCs/>
          <w:color w:val="000000"/>
          <w:lang w:eastAsia="it-IT"/>
        </w:rPr>
        <w:t>Churg</w:t>
      </w:r>
      <w:proofErr w:type="spellEnd"/>
      <w:r w:rsidRPr="00C53271">
        <w:rPr>
          <w:rFonts w:eastAsia="Times New Roman" w:cs="Arial"/>
          <w:bCs/>
          <w:color w:val="000000"/>
          <w:lang w:eastAsia="it-IT"/>
        </w:rPr>
        <w:t>-Strauss: terapia iniziale (in caso di compromissione degli organi e progressione grave in combinazione con immunosoppressori, mantenimento della remissione</w:t>
      </w:r>
      <w:r w:rsidR="00E72507">
        <w:rPr>
          <w:rFonts w:eastAsia="Times New Roman" w:cs="Arial"/>
          <w:bCs/>
          <w:color w:val="000000"/>
          <w:lang w:eastAsia="it-IT"/>
        </w:rPr>
        <w:t>)</w:t>
      </w:r>
      <w:r w:rsidRPr="00C53271">
        <w:rPr>
          <w:rFonts w:eastAsia="Times New Roman" w:cs="Arial"/>
          <w:bCs/>
          <w:color w:val="000000"/>
          <w:lang w:eastAsia="it-IT"/>
        </w:rPr>
        <w:t xml:space="preserve"> </w:t>
      </w:r>
    </w:p>
    <w:p w14:paraId="665B291C" w14:textId="2140F601"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Fasi attive delle malattie reumatiche sistemiche:</w:t>
      </w:r>
    </w:p>
    <w:p w14:paraId="665B291D" w14:textId="77777777"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Lupus Eritematoso Sistemico</w:t>
      </w:r>
    </w:p>
    <w:p w14:paraId="665B291E" w14:textId="77777777"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Polimiosite</w:t>
      </w:r>
      <w:proofErr w:type="spellEnd"/>
      <w:r w:rsidRPr="00C53271">
        <w:rPr>
          <w:rFonts w:eastAsia="Times New Roman" w:cs="Arial"/>
          <w:bCs/>
          <w:color w:val="000000"/>
          <w:lang w:eastAsia="it-IT"/>
        </w:rPr>
        <w:t>/</w:t>
      </w:r>
      <w:proofErr w:type="spellStart"/>
      <w:r w:rsidRPr="00C53271">
        <w:rPr>
          <w:rFonts w:eastAsia="Times New Roman" w:cs="Arial"/>
          <w:bCs/>
          <w:color w:val="000000"/>
          <w:lang w:eastAsia="it-IT"/>
        </w:rPr>
        <w:t>Policondrite</w:t>
      </w:r>
      <w:proofErr w:type="spellEnd"/>
      <w:r w:rsidRPr="00C53271">
        <w:rPr>
          <w:rFonts w:eastAsia="Times New Roman" w:cs="Arial"/>
          <w:bCs/>
          <w:color w:val="000000"/>
          <w:lang w:eastAsia="it-IT"/>
        </w:rPr>
        <w:t xml:space="preserve"> cronica atrofizzante</w:t>
      </w:r>
    </w:p>
    <w:p w14:paraId="665B291F" w14:textId="77777777"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Connettiviti miste</w:t>
      </w:r>
    </w:p>
    <w:p w14:paraId="665B2920" w14:textId="3C96919B"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reumatoide attiva con forme progressive gravi, ad esempio forme distruttive e/o manifestazioni extra-articolari </w:t>
      </w:r>
    </w:p>
    <w:p w14:paraId="665B2921"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Altre artriti reumatiche infiammatorie, se la gravità del quadro clinico lo richiede e non possono essere utilizzati farmaci antinfiammatori non steroidei (FANS):</w:t>
      </w:r>
    </w:p>
    <w:p w14:paraId="665B2922" w14:textId="49CFA83D"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Spondiloartriti (spondilite anchilosante che coinvolge le articolazioni periferiche, artrite psoriasica, artropatia enteropatica ad alta attività infiammatoria</w:t>
      </w:r>
    </w:p>
    <w:p w14:paraId="665B2923" w14:textId="3E7602ED"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Artriti reattive</w:t>
      </w:r>
    </w:p>
    <w:p w14:paraId="665B2924" w14:textId="505B24F9" w:rsidR="00C77C09" w:rsidRPr="00C53271" w:rsidRDefault="00C77C09" w:rsidP="00C77C0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nella sarcoidosi </w:t>
      </w:r>
    </w:p>
    <w:p w14:paraId="665B2925" w14:textId="53A64D5B"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Cardite nella febbre reumatica, nei casi gravi nell'arco di 2-3 mesi </w:t>
      </w:r>
    </w:p>
    <w:p w14:paraId="665B2926" w14:textId="2DF2814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idiopatica giovanile con forma sistemica grave (sindrome di </w:t>
      </w:r>
      <w:proofErr w:type="spellStart"/>
      <w:r w:rsidRPr="00C53271">
        <w:rPr>
          <w:rFonts w:eastAsia="Times New Roman" w:cs="Arial"/>
          <w:bCs/>
          <w:color w:val="000000"/>
          <w:lang w:eastAsia="it-IT"/>
        </w:rPr>
        <w:t>Still</w:t>
      </w:r>
      <w:proofErr w:type="spellEnd"/>
      <w:r w:rsidRPr="00C53271">
        <w:rPr>
          <w:rFonts w:eastAsia="Times New Roman" w:cs="Arial"/>
          <w:bCs/>
          <w:color w:val="000000"/>
          <w:lang w:eastAsia="it-IT"/>
        </w:rPr>
        <w:t xml:space="preserve">) o con iridociclite quando il trattamento locale è inefficace </w:t>
      </w:r>
    </w:p>
    <w:p w14:paraId="665B2927" w14:textId="77777777" w:rsidR="00C77C09" w:rsidRPr="00C53271" w:rsidRDefault="00C77C09" w:rsidP="00C77C09">
      <w:pPr>
        <w:pStyle w:val="Titolo2"/>
        <w:ind w:left="0"/>
        <w:jc w:val="both"/>
        <w:rPr>
          <w:rFonts w:asciiTheme="minorHAnsi" w:hAnsiTheme="minorHAnsi" w:cs="Arial"/>
          <w:b w:val="0"/>
          <w:color w:val="000000"/>
          <w:lang w:eastAsia="it-IT"/>
        </w:rPr>
      </w:pPr>
    </w:p>
    <w:p w14:paraId="665B2928" w14:textId="77777777" w:rsidR="00C77C09" w:rsidRPr="00283D6F" w:rsidRDefault="00C77C09" w:rsidP="00C77C09">
      <w:pPr>
        <w:pStyle w:val="Titolo2"/>
        <w:ind w:left="0"/>
        <w:jc w:val="both"/>
        <w:rPr>
          <w:rFonts w:asciiTheme="minorHAnsi" w:hAnsiTheme="minorHAnsi" w:cs="Arial"/>
          <w:bCs w:val="0"/>
          <w:color w:val="000000"/>
          <w:lang w:eastAsia="it-IT"/>
        </w:rPr>
      </w:pPr>
      <w:r w:rsidRPr="00283D6F">
        <w:rPr>
          <w:rFonts w:asciiTheme="minorHAnsi" w:hAnsiTheme="minorHAnsi" w:cs="Arial"/>
          <w:bCs w:val="0"/>
          <w:color w:val="000000"/>
          <w:lang w:eastAsia="it-IT"/>
        </w:rPr>
        <w:t>Pneumologia:</w:t>
      </w:r>
    </w:p>
    <w:p w14:paraId="665B2929" w14:textId="0934330E"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Asma bronchiale, allo stesso tempo si raccomanda la somministrazione di broncodilatatori</w:t>
      </w:r>
    </w:p>
    <w:p w14:paraId="665B292A" w14:textId="32975DD4"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Esacerbazione acuta della </w:t>
      </w:r>
      <w:proofErr w:type="spellStart"/>
      <w:r w:rsidRPr="00C53271">
        <w:rPr>
          <w:rFonts w:eastAsia="Times New Roman" w:cs="Arial"/>
          <w:bCs/>
          <w:color w:val="000000"/>
          <w:lang w:eastAsia="it-IT"/>
        </w:rPr>
        <w:t>bronco</w:t>
      </w:r>
      <w:r w:rsidR="00752F7C">
        <w:rPr>
          <w:rFonts w:eastAsia="Times New Roman" w:cs="Arial"/>
          <w:bCs/>
          <w:color w:val="000000"/>
          <w:lang w:eastAsia="it-IT"/>
        </w:rPr>
        <w:t>pneumopatia</w:t>
      </w:r>
      <w:proofErr w:type="spellEnd"/>
      <w:r w:rsidR="00752F7C">
        <w:rPr>
          <w:rFonts w:eastAsia="Times New Roman" w:cs="Arial"/>
          <w:bCs/>
          <w:color w:val="000000"/>
          <w:lang w:eastAsia="it-IT"/>
        </w:rPr>
        <w:t xml:space="preserve"> cronica ostruttiva </w:t>
      </w:r>
      <w:r w:rsidRPr="00C53271">
        <w:rPr>
          <w:rFonts w:eastAsia="Times New Roman" w:cs="Arial"/>
          <w:bCs/>
          <w:color w:val="000000"/>
          <w:lang w:eastAsia="it-IT"/>
        </w:rPr>
        <w:t>BPCO, durata raccomandata della terapia fino a 10 giorni</w:t>
      </w:r>
    </w:p>
    <w:p w14:paraId="665B292B" w14:textId="4BFB933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polmonari interstiziali come l'alveolite acuta, la fibrosi polmonare, la bronchiolite obliterante che polmonite organizzata  (BOOP) (diminuendo la dose gradualmente fino alla sospensione), eventualmente in combinazione con immunosoppressori, la polmonite eosinofila cronica (diminuendo la dose gradualmente fino alla sospensione), per il trattamento a lungo termine di forme croniche di sarcoidosi negli stadi II e III (in caso di mancanza di respiro, tosse e deterioramento dei valori di funzionalità polmonare) </w:t>
      </w:r>
    </w:p>
    <w:p w14:paraId="665B292C" w14:textId="0D4BF0A4"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Profilassi della sindrome da </w:t>
      </w:r>
      <w:proofErr w:type="spellStart"/>
      <w:r w:rsidRPr="00C53271">
        <w:rPr>
          <w:rFonts w:eastAsia="Times New Roman" w:cs="Arial"/>
          <w:bCs/>
          <w:color w:val="000000"/>
          <w:lang w:eastAsia="it-IT"/>
        </w:rPr>
        <w:t>distress</w:t>
      </w:r>
      <w:proofErr w:type="spellEnd"/>
      <w:r w:rsidRPr="00C53271">
        <w:rPr>
          <w:rFonts w:eastAsia="Times New Roman" w:cs="Arial"/>
          <w:bCs/>
          <w:color w:val="000000"/>
          <w:lang w:eastAsia="it-IT"/>
        </w:rPr>
        <w:t xml:space="preserve"> respiratorio nei neonati pretermine </w:t>
      </w:r>
    </w:p>
    <w:p w14:paraId="665B292D" w14:textId="77777777" w:rsidR="00C77C09" w:rsidRPr="00C53271" w:rsidRDefault="00C77C09" w:rsidP="00C77C09">
      <w:pPr>
        <w:pStyle w:val="Corpotesto"/>
        <w:rPr>
          <w:rFonts w:asciiTheme="minorHAnsi" w:hAnsiTheme="minorHAnsi" w:cs="Arial"/>
          <w:bCs/>
          <w:color w:val="000000"/>
          <w:lang w:eastAsia="it-IT"/>
        </w:rPr>
      </w:pPr>
    </w:p>
    <w:p w14:paraId="665B292E" w14:textId="77777777" w:rsidR="00C77C09" w:rsidRPr="00283D6F" w:rsidRDefault="00C77C09" w:rsidP="00C77C09">
      <w:pPr>
        <w:pStyle w:val="Titolo2"/>
        <w:ind w:left="0"/>
        <w:jc w:val="both"/>
        <w:rPr>
          <w:rFonts w:asciiTheme="minorHAnsi" w:hAnsiTheme="minorHAnsi" w:cs="Arial"/>
          <w:bCs w:val="0"/>
          <w:color w:val="000000"/>
          <w:lang w:eastAsia="it-IT"/>
        </w:rPr>
      </w:pPr>
      <w:r w:rsidRPr="00283D6F">
        <w:rPr>
          <w:rFonts w:asciiTheme="minorHAnsi" w:hAnsiTheme="minorHAnsi" w:cs="Arial"/>
          <w:bCs w:val="0"/>
          <w:color w:val="000000"/>
          <w:lang w:eastAsia="it-IT"/>
        </w:rPr>
        <w:t>Malattie delle vie respiratorie superiori:</w:t>
      </w:r>
    </w:p>
    <w:p w14:paraId="665B292F" w14:textId="355B6B84"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Forme gravi di polli</w:t>
      </w:r>
      <w:r w:rsidR="00752F7C">
        <w:rPr>
          <w:rFonts w:eastAsia="Times New Roman" w:cs="Arial"/>
          <w:bCs/>
          <w:color w:val="000000"/>
          <w:lang w:eastAsia="it-IT"/>
        </w:rPr>
        <w:t>nosi e rinite allergica dopo il</w:t>
      </w:r>
      <w:r w:rsidRPr="00C53271">
        <w:rPr>
          <w:rFonts w:eastAsia="Times New Roman" w:cs="Arial"/>
          <w:bCs/>
          <w:color w:val="000000"/>
          <w:lang w:eastAsia="it-IT"/>
        </w:rPr>
        <w:t xml:space="preserve"> fallimento della somministrazione </w:t>
      </w:r>
      <w:proofErr w:type="spellStart"/>
      <w:r w:rsidRPr="00C53271">
        <w:rPr>
          <w:rFonts w:eastAsia="Times New Roman" w:cs="Arial"/>
          <w:bCs/>
          <w:color w:val="000000"/>
          <w:lang w:eastAsia="it-IT"/>
        </w:rPr>
        <w:t>intranasale</w:t>
      </w:r>
      <w:proofErr w:type="spellEnd"/>
      <w:r w:rsidRPr="00C53271">
        <w:rPr>
          <w:rFonts w:eastAsia="Times New Roman" w:cs="Arial"/>
          <w:bCs/>
          <w:color w:val="000000"/>
          <w:lang w:eastAsia="it-IT"/>
        </w:rPr>
        <w:t xml:space="preserve"> di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w:t>
      </w:r>
    </w:p>
    <w:p w14:paraId="665B2930" w14:textId="0F3879AD"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Stenosi acuta della laringe e della trachea: edema di </w:t>
      </w:r>
      <w:proofErr w:type="spellStart"/>
      <w:r w:rsidRPr="00C53271">
        <w:rPr>
          <w:rFonts w:eastAsia="Times New Roman" w:cs="Arial"/>
          <w:bCs/>
          <w:color w:val="000000"/>
          <w:lang w:eastAsia="it-IT"/>
        </w:rPr>
        <w:t>Quincke</w:t>
      </w:r>
      <w:proofErr w:type="spellEnd"/>
      <w:r w:rsidRPr="00C53271">
        <w:rPr>
          <w:rFonts w:eastAsia="Times New Roman" w:cs="Arial"/>
          <w:bCs/>
          <w:color w:val="000000"/>
          <w:lang w:eastAsia="it-IT"/>
        </w:rPr>
        <w:t>, laringite ostruttiva sottoglottica (pseudo-</w:t>
      </w:r>
      <w:proofErr w:type="spellStart"/>
      <w:r w:rsidRPr="00C53271">
        <w:rPr>
          <w:rFonts w:eastAsia="Times New Roman" w:cs="Arial"/>
          <w:bCs/>
          <w:color w:val="000000"/>
          <w:lang w:eastAsia="it-IT"/>
        </w:rPr>
        <w:t>croup</w:t>
      </w:r>
      <w:proofErr w:type="spellEnd"/>
      <w:r w:rsidRPr="00C53271">
        <w:rPr>
          <w:rFonts w:eastAsia="Times New Roman" w:cs="Arial"/>
          <w:bCs/>
          <w:color w:val="000000"/>
          <w:lang w:eastAsia="it-IT"/>
        </w:rPr>
        <w:t xml:space="preserve">) </w:t>
      </w:r>
    </w:p>
    <w:p w14:paraId="665B2931" w14:textId="77777777" w:rsidR="00C77C09" w:rsidRPr="00C53271" w:rsidRDefault="00C77C09" w:rsidP="00C77C09">
      <w:pPr>
        <w:pStyle w:val="Corpotesto"/>
        <w:jc w:val="both"/>
        <w:rPr>
          <w:rFonts w:asciiTheme="minorHAnsi" w:hAnsiTheme="minorHAnsi" w:cs="Arial"/>
          <w:bCs/>
          <w:color w:val="000000"/>
          <w:lang w:eastAsia="it-IT"/>
        </w:rPr>
      </w:pPr>
    </w:p>
    <w:p w14:paraId="665B2932" w14:textId="77777777" w:rsidR="00C77C09" w:rsidRPr="00283D6F" w:rsidRDefault="00C77C09" w:rsidP="00C77C09">
      <w:pPr>
        <w:pStyle w:val="Titolo2"/>
        <w:ind w:left="0"/>
        <w:jc w:val="both"/>
        <w:rPr>
          <w:rFonts w:asciiTheme="minorHAnsi" w:hAnsiTheme="minorHAnsi" w:cs="Arial"/>
          <w:bCs w:val="0"/>
          <w:color w:val="000000"/>
          <w:lang w:eastAsia="it-IT"/>
        </w:rPr>
      </w:pPr>
      <w:r w:rsidRPr="00283D6F">
        <w:rPr>
          <w:rFonts w:asciiTheme="minorHAnsi" w:hAnsiTheme="minorHAnsi" w:cs="Arial"/>
          <w:bCs w:val="0"/>
          <w:color w:val="000000"/>
          <w:lang w:eastAsia="it-IT"/>
        </w:rPr>
        <w:t>Dermatologia:</w:t>
      </w:r>
    </w:p>
    <w:p w14:paraId="665B2933" w14:textId="77777777" w:rsidR="00C77C09" w:rsidRPr="00C53271" w:rsidRDefault="00C77C09" w:rsidP="00C77C09">
      <w:pPr>
        <w:pStyle w:val="Corpotesto"/>
        <w:jc w:val="both"/>
        <w:rPr>
          <w:rFonts w:asciiTheme="minorHAnsi" w:hAnsiTheme="minorHAnsi" w:cs="Arial"/>
          <w:bCs/>
          <w:color w:val="000000"/>
          <w:lang w:eastAsia="it-IT"/>
        </w:rPr>
      </w:pPr>
      <w:r w:rsidRPr="00C53271">
        <w:rPr>
          <w:rFonts w:asciiTheme="minorHAnsi" w:hAnsiTheme="minorHAnsi" w:cs="Arial"/>
          <w:bCs/>
          <w:color w:val="000000"/>
          <w:lang w:eastAsia="it-IT"/>
        </w:rPr>
        <w:t xml:space="preserve">Malattie della pelle e delle mucose che non possono essere trattate o non possono essere adeguatamente trattate con </w:t>
      </w:r>
      <w:proofErr w:type="spellStart"/>
      <w:r w:rsidRPr="00C53271">
        <w:rPr>
          <w:rFonts w:asciiTheme="minorHAnsi" w:hAnsiTheme="minorHAnsi" w:cs="Arial"/>
          <w:bCs/>
          <w:color w:val="000000"/>
          <w:lang w:eastAsia="it-IT"/>
        </w:rPr>
        <w:t>glucocorticoidi</w:t>
      </w:r>
      <w:proofErr w:type="spellEnd"/>
      <w:r w:rsidRPr="00C53271">
        <w:rPr>
          <w:rFonts w:asciiTheme="minorHAnsi" w:hAnsiTheme="minorHAnsi" w:cs="Arial"/>
          <w:bCs/>
          <w:color w:val="000000"/>
          <w:lang w:eastAsia="it-IT"/>
        </w:rPr>
        <w:t xml:space="preserve"> topici a causa della loro gravità e/o estensione o coinvolgimento del sistema. Questi </w:t>
      </w:r>
      <w:r w:rsidRPr="00C53271">
        <w:rPr>
          <w:rFonts w:asciiTheme="minorHAnsi" w:hAnsiTheme="minorHAnsi" w:cs="Arial"/>
          <w:bCs/>
          <w:color w:val="000000"/>
          <w:lang w:eastAsia="it-IT"/>
        </w:rPr>
        <w:lastRenderedPageBreak/>
        <w:t>includono:</w:t>
      </w:r>
    </w:p>
    <w:p w14:paraId="665B2934" w14:textId="66779495"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allergiche, pseudo-allergiche e allergico-infettive: ad es. orticaria acuta, reazioni anafilattoidi, esantema farmacologico, eritema essudativo multiforme, </w:t>
      </w:r>
      <w:proofErr w:type="spellStart"/>
      <w:r w:rsidRPr="00C53271">
        <w:rPr>
          <w:rFonts w:eastAsia="Times New Roman" w:cs="Arial"/>
          <w:bCs/>
          <w:color w:val="000000"/>
          <w:lang w:eastAsia="it-IT"/>
        </w:rPr>
        <w:t>necrolisi</w:t>
      </w:r>
      <w:proofErr w:type="spellEnd"/>
      <w:r w:rsidRPr="00C53271">
        <w:rPr>
          <w:rFonts w:eastAsia="Times New Roman" w:cs="Arial"/>
          <w:bCs/>
          <w:color w:val="000000"/>
          <w:lang w:eastAsia="it-IT"/>
        </w:rPr>
        <w:t xml:space="preserve"> epidermica tossica (sindrome di </w:t>
      </w:r>
      <w:proofErr w:type="spellStart"/>
      <w:r w:rsidRPr="00C53271">
        <w:rPr>
          <w:rFonts w:eastAsia="Times New Roman" w:cs="Arial"/>
          <w:bCs/>
          <w:color w:val="000000"/>
          <w:lang w:eastAsia="it-IT"/>
        </w:rPr>
        <w:t>Lyell</w:t>
      </w:r>
      <w:proofErr w:type="spellEnd"/>
      <w:r w:rsidRPr="00C53271">
        <w:rPr>
          <w:rFonts w:eastAsia="Times New Roman" w:cs="Arial"/>
          <w:bCs/>
          <w:color w:val="000000"/>
          <w:lang w:eastAsia="it-IT"/>
        </w:rPr>
        <w:t xml:space="preserve">), pustolosi acuta generalizzata, eritema nodoso, dermatosi acuta febbrile dei neutrofili (sindrome di </w:t>
      </w:r>
      <w:proofErr w:type="spellStart"/>
      <w:r w:rsidRPr="00C53271">
        <w:rPr>
          <w:rFonts w:eastAsia="Times New Roman" w:cs="Arial"/>
          <w:bCs/>
          <w:color w:val="000000"/>
          <w:lang w:eastAsia="it-IT"/>
        </w:rPr>
        <w:t>Sweet</w:t>
      </w:r>
      <w:proofErr w:type="spellEnd"/>
      <w:r w:rsidRPr="00C53271">
        <w:rPr>
          <w:rFonts w:eastAsia="Times New Roman" w:cs="Arial"/>
          <w:bCs/>
          <w:color w:val="000000"/>
          <w:lang w:eastAsia="it-IT"/>
        </w:rPr>
        <w:t>), dermatite allergica da contatto</w:t>
      </w:r>
    </w:p>
    <w:p w14:paraId="665B2935" w14:textId="148C1291"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Malattie da eczema: ad es. eczema atopico, eczema da contatto, eczema microbico (</w:t>
      </w:r>
      <w:proofErr w:type="spellStart"/>
      <w:r w:rsidRPr="00C53271">
        <w:rPr>
          <w:rFonts w:eastAsia="Times New Roman" w:cs="Arial"/>
          <w:bCs/>
          <w:color w:val="000000"/>
          <w:lang w:eastAsia="it-IT"/>
        </w:rPr>
        <w:t>nummulare</w:t>
      </w:r>
      <w:proofErr w:type="spellEnd"/>
      <w:r w:rsidRPr="00C53271">
        <w:rPr>
          <w:rFonts w:eastAsia="Times New Roman" w:cs="Arial"/>
          <w:bCs/>
          <w:color w:val="000000"/>
          <w:lang w:eastAsia="it-IT"/>
        </w:rPr>
        <w:t>)</w:t>
      </w:r>
    </w:p>
    <w:p w14:paraId="665B2936" w14:textId="5CB0F082"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granulomatose: ad es. sarcoidosi, cheilite granulomatosa (sindrome monosintomatica di </w:t>
      </w:r>
      <w:proofErr w:type="spellStart"/>
      <w:r w:rsidRPr="00C53271">
        <w:rPr>
          <w:rFonts w:eastAsia="Times New Roman" w:cs="Arial"/>
          <w:bCs/>
          <w:color w:val="000000"/>
          <w:lang w:eastAsia="it-IT"/>
        </w:rPr>
        <w:t>Melkersson-Rosenthal</w:t>
      </w:r>
      <w:proofErr w:type="spellEnd"/>
      <w:r w:rsidRPr="00C53271">
        <w:rPr>
          <w:rFonts w:eastAsia="Times New Roman" w:cs="Arial"/>
          <w:bCs/>
          <w:color w:val="000000"/>
          <w:lang w:eastAsia="it-IT"/>
        </w:rPr>
        <w:t>)</w:t>
      </w:r>
    </w:p>
    <w:p w14:paraId="665B2937" w14:textId="3C06FDA6"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bollose: ad es. pemfigo volgare, pemfigoide bolloso, pemfigoide benigno delle mucose, dermatosi </w:t>
      </w:r>
      <w:proofErr w:type="spellStart"/>
      <w:r w:rsidRPr="00C53271">
        <w:rPr>
          <w:rFonts w:eastAsia="Times New Roman" w:cs="Arial"/>
          <w:bCs/>
          <w:color w:val="000000"/>
          <w:lang w:eastAsia="it-IT"/>
        </w:rPr>
        <w:t>IgA</w:t>
      </w:r>
      <w:proofErr w:type="spellEnd"/>
      <w:r w:rsidRPr="00C53271">
        <w:rPr>
          <w:rFonts w:eastAsia="Times New Roman" w:cs="Arial"/>
          <w:bCs/>
          <w:color w:val="000000"/>
          <w:lang w:eastAsia="it-IT"/>
        </w:rPr>
        <w:t>-lineari</w:t>
      </w:r>
    </w:p>
    <w:p w14:paraId="665B2938" w14:textId="733D97AD"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Vasculiti</w:t>
      </w:r>
      <w:proofErr w:type="spellEnd"/>
      <w:r w:rsidRPr="00C53271">
        <w:rPr>
          <w:rFonts w:eastAsia="Times New Roman" w:cs="Arial"/>
          <w:bCs/>
          <w:color w:val="000000"/>
          <w:lang w:eastAsia="it-IT"/>
        </w:rPr>
        <w:t xml:space="preserve">: per es. </w:t>
      </w:r>
      <w:proofErr w:type="spellStart"/>
      <w:r w:rsidRPr="00C53271">
        <w:rPr>
          <w:rFonts w:eastAsia="Times New Roman" w:cs="Arial"/>
          <w:bCs/>
          <w:color w:val="000000"/>
          <w:lang w:eastAsia="it-IT"/>
        </w:rPr>
        <w:t>Vasculite</w:t>
      </w:r>
      <w:proofErr w:type="spellEnd"/>
      <w:r w:rsidRPr="00C53271">
        <w:rPr>
          <w:rFonts w:eastAsia="Times New Roman" w:cs="Arial"/>
          <w:bCs/>
          <w:color w:val="000000"/>
          <w:lang w:eastAsia="it-IT"/>
        </w:rPr>
        <w:t xml:space="preserve"> allergica, </w:t>
      </w:r>
      <w:proofErr w:type="spellStart"/>
      <w:r w:rsidRPr="00C53271">
        <w:rPr>
          <w:rFonts w:eastAsia="Times New Roman" w:cs="Arial"/>
          <w:bCs/>
          <w:color w:val="000000"/>
          <w:lang w:eastAsia="it-IT"/>
        </w:rPr>
        <w:t>Poliarterite</w:t>
      </w:r>
      <w:proofErr w:type="spellEnd"/>
      <w:r w:rsidRPr="00C53271">
        <w:rPr>
          <w:rFonts w:eastAsia="Times New Roman" w:cs="Arial"/>
          <w:bCs/>
          <w:color w:val="000000"/>
          <w:lang w:eastAsia="it-IT"/>
        </w:rPr>
        <w:t xml:space="preserve"> nodosa</w:t>
      </w:r>
    </w:p>
    <w:p w14:paraId="665B2939" w14:textId="5C31ACB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autoimmuni: ad es. </w:t>
      </w:r>
      <w:proofErr w:type="spellStart"/>
      <w:r w:rsidRPr="00C53271">
        <w:rPr>
          <w:rFonts w:eastAsia="Times New Roman" w:cs="Arial"/>
          <w:bCs/>
          <w:color w:val="000000"/>
          <w:lang w:eastAsia="it-IT"/>
        </w:rPr>
        <w:t>dermatomiosite</w:t>
      </w:r>
      <w:proofErr w:type="spellEnd"/>
      <w:r w:rsidRPr="00C53271">
        <w:rPr>
          <w:rFonts w:eastAsia="Times New Roman" w:cs="Arial"/>
          <w:bCs/>
          <w:color w:val="000000"/>
          <w:lang w:eastAsia="it-IT"/>
        </w:rPr>
        <w:t>, sclerodermia sistemica (fase indurativa), lupus eritematoso cutaneo cronico e subacuto</w:t>
      </w:r>
    </w:p>
    <w:p w14:paraId="665B293A" w14:textId="578F7DD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gravidiche: ad esempio herpes </w:t>
      </w:r>
      <w:proofErr w:type="spellStart"/>
      <w:r w:rsidRPr="00C53271">
        <w:rPr>
          <w:rFonts w:eastAsia="Times New Roman" w:cs="Arial"/>
          <w:bCs/>
          <w:color w:val="000000"/>
          <w:lang w:eastAsia="it-IT"/>
        </w:rPr>
        <w:t>gestazionis</w:t>
      </w:r>
      <w:proofErr w:type="spellEnd"/>
      <w:r w:rsidRPr="00C53271">
        <w:rPr>
          <w:rFonts w:eastAsia="Times New Roman" w:cs="Arial"/>
          <w:bCs/>
          <w:color w:val="000000"/>
          <w:lang w:eastAsia="it-IT"/>
        </w:rPr>
        <w:t xml:space="preserve">, impetigine erpetiforme </w:t>
      </w:r>
    </w:p>
    <w:p w14:paraId="665B293B" w14:textId="36DBE678"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w:t>
      </w:r>
      <w:proofErr w:type="spellStart"/>
      <w:r w:rsidRPr="00C53271">
        <w:rPr>
          <w:rFonts w:eastAsia="Times New Roman" w:cs="Arial"/>
          <w:bCs/>
          <w:color w:val="000000"/>
          <w:lang w:eastAsia="it-IT"/>
        </w:rPr>
        <w:t>eritemato</w:t>
      </w:r>
      <w:proofErr w:type="spellEnd"/>
      <w:r w:rsidRPr="00C53271">
        <w:rPr>
          <w:rFonts w:eastAsia="Times New Roman" w:cs="Arial"/>
          <w:bCs/>
          <w:color w:val="000000"/>
          <w:lang w:eastAsia="it-IT"/>
        </w:rPr>
        <w:t xml:space="preserve">-squamose: per es. psoriasi pustolosa, pitiriasi rubra pilare, gruppo delle </w:t>
      </w:r>
      <w:proofErr w:type="spellStart"/>
      <w:r w:rsidRPr="00C53271">
        <w:rPr>
          <w:rFonts w:eastAsia="Times New Roman" w:cs="Arial"/>
          <w:bCs/>
          <w:color w:val="000000"/>
          <w:lang w:eastAsia="it-IT"/>
        </w:rPr>
        <w:t>parapsoriasi</w:t>
      </w:r>
      <w:proofErr w:type="spellEnd"/>
      <w:r w:rsidRPr="00C53271">
        <w:rPr>
          <w:rFonts w:eastAsia="Times New Roman" w:cs="Arial"/>
          <w:bCs/>
          <w:color w:val="000000"/>
          <w:lang w:eastAsia="it-IT"/>
        </w:rPr>
        <w:t xml:space="preserve"> </w:t>
      </w:r>
    </w:p>
    <w:p w14:paraId="665B293C" w14:textId="2D254E01"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Eritrodermia, anche nella sindrome di </w:t>
      </w:r>
      <w:proofErr w:type="spellStart"/>
      <w:r w:rsidRPr="00C53271">
        <w:rPr>
          <w:rFonts w:eastAsia="Times New Roman" w:cs="Arial"/>
          <w:bCs/>
          <w:color w:val="000000"/>
          <w:lang w:eastAsia="it-IT"/>
        </w:rPr>
        <w:t>Sézary</w:t>
      </w:r>
      <w:proofErr w:type="spellEnd"/>
    </w:p>
    <w:p w14:paraId="665B293D" w14:textId="0B2E4FFD"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Altre patologie: ad es. reazione di </w:t>
      </w:r>
      <w:proofErr w:type="spellStart"/>
      <w:r w:rsidRPr="00C53271">
        <w:rPr>
          <w:rFonts w:eastAsia="Times New Roman" w:cs="Arial"/>
          <w:bCs/>
          <w:color w:val="000000"/>
          <w:lang w:eastAsia="it-IT"/>
        </w:rPr>
        <w:t>Jarisch-Herxheimer</w:t>
      </w:r>
      <w:proofErr w:type="spellEnd"/>
      <w:r w:rsidRPr="00C53271">
        <w:rPr>
          <w:rFonts w:eastAsia="Times New Roman" w:cs="Arial"/>
          <w:bCs/>
          <w:color w:val="000000"/>
          <w:lang w:eastAsia="it-IT"/>
        </w:rPr>
        <w:t xml:space="preserve"> con trattamento con penicillina del </w:t>
      </w:r>
      <w:proofErr w:type="spellStart"/>
      <w:r w:rsidRPr="00C53271">
        <w:rPr>
          <w:rFonts w:eastAsia="Times New Roman" w:cs="Arial"/>
          <w:bCs/>
          <w:color w:val="000000"/>
          <w:lang w:eastAsia="it-IT"/>
        </w:rPr>
        <w:t>Lues</w:t>
      </w:r>
      <w:proofErr w:type="spellEnd"/>
      <w:r w:rsidRPr="00C53271">
        <w:rPr>
          <w:rFonts w:eastAsia="Times New Roman" w:cs="Arial"/>
          <w:bCs/>
          <w:color w:val="000000"/>
          <w:lang w:eastAsia="it-IT"/>
        </w:rPr>
        <w:t xml:space="preserve">, emangioma cavernoso in crescita rapida e in aumento, malattia di </w:t>
      </w:r>
      <w:proofErr w:type="spellStart"/>
      <w:r w:rsidRPr="00C53271">
        <w:rPr>
          <w:rFonts w:eastAsia="Times New Roman" w:cs="Arial"/>
          <w:bCs/>
          <w:color w:val="000000"/>
          <w:lang w:eastAsia="it-IT"/>
        </w:rPr>
        <w:t>Behçet</w:t>
      </w:r>
      <w:proofErr w:type="spellEnd"/>
      <w:r w:rsidRPr="00C53271">
        <w:rPr>
          <w:rFonts w:eastAsia="Times New Roman" w:cs="Arial"/>
          <w:bCs/>
          <w:color w:val="000000"/>
          <w:lang w:eastAsia="it-IT"/>
        </w:rPr>
        <w:t xml:space="preserve">, </w:t>
      </w:r>
      <w:proofErr w:type="spellStart"/>
      <w:r w:rsidRPr="00C53271">
        <w:rPr>
          <w:rFonts w:eastAsia="Times New Roman" w:cs="Arial"/>
          <w:bCs/>
          <w:color w:val="000000"/>
          <w:lang w:eastAsia="it-IT"/>
        </w:rPr>
        <w:t>pioderma</w:t>
      </w:r>
      <w:proofErr w:type="spellEnd"/>
      <w:r w:rsidRPr="00C53271">
        <w:rPr>
          <w:rFonts w:eastAsia="Times New Roman" w:cs="Arial"/>
          <w:bCs/>
          <w:color w:val="000000"/>
          <w:lang w:eastAsia="it-IT"/>
        </w:rPr>
        <w:t xml:space="preserve"> gangrenoso, </w:t>
      </w:r>
      <w:proofErr w:type="spellStart"/>
      <w:r w:rsidRPr="00C53271">
        <w:rPr>
          <w:rFonts w:eastAsia="Times New Roman" w:cs="Arial"/>
          <w:bCs/>
          <w:color w:val="000000"/>
          <w:lang w:eastAsia="it-IT"/>
        </w:rPr>
        <w:t>fascite</w:t>
      </w:r>
      <w:proofErr w:type="spellEnd"/>
      <w:r w:rsidRPr="00C53271">
        <w:rPr>
          <w:rFonts w:eastAsia="Times New Roman" w:cs="Arial"/>
          <w:bCs/>
          <w:color w:val="000000"/>
          <w:lang w:eastAsia="it-IT"/>
        </w:rPr>
        <w:t xml:space="preserve"> eosinofila, lichen </w:t>
      </w:r>
      <w:proofErr w:type="spellStart"/>
      <w:r w:rsidRPr="00C53271">
        <w:rPr>
          <w:rFonts w:eastAsia="Times New Roman" w:cs="Arial"/>
          <w:bCs/>
          <w:color w:val="000000"/>
          <w:lang w:eastAsia="it-IT"/>
        </w:rPr>
        <w:t>ruber</w:t>
      </w:r>
      <w:proofErr w:type="spellEnd"/>
      <w:r w:rsidRPr="00C53271">
        <w:rPr>
          <w:rFonts w:eastAsia="Times New Roman" w:cs="Arial"/>
          <w:bCs/>
          <w:color w:val="000000"/>
          <w:lang w:eastAsia="it-IT"/>
        </w:rPr>
        <w:t xml:space="preserve"> esantematico, </w:t>
      </w:r>
      <w:proofErr w:type="spellStart"/>
      <w:r w:rsidRPr="00C53271">
        <w:rPr>
          <w:rFonts w:eastAsia="Times New Roman" w:cs="Arial"/>
          <w:bCs/>
          <w:color w:val="000000"/>
          <w:lang w:eastAsia="it-IT"/>
        </w:rPr>
        <w:t>epidermolisi</w:t>
      </w:r>
      <w:proofErr w:type="spellEnd"/>
      <w:r w:rsidRPr="00C53271">
        <w:rPr>
          <w:rFonts w:eastAsia="Times New Roman" w:cs="Arial"/>
          <w:bCs/>
          <w:color w:val="000000"/>
          <w:lang w:eastAsia="it-IT"/>
        </w:rPr>
        <w:t xml:space="preserve"> bollosa ereditaria</w:t>
      </w:r>
    </w:p>
    <w:p w14:paraId="665B293E" w14:textId="77777777" w:rsidR="00C77C09" w:rsidRPr="00C53271" w:rsidRDefault="00C77C09" w:rsidP="00C77C09">
      <w:pPr>
        <w:pStyle w:val="Corpotesto"/>
        <w:jc w:val="both"/>
        <w:rPr>
          <w:rFonts w:asciiTheme="minorHAnsi" w:hAnsiTheme="minorHAnsi" w:cs="Arial"/>
          <w:bCs/>
          <w:color w:val="000000"/>
          <w:lang w:eastAsia="it-IT"/>
        </w:rPr>
      </w:pPr>
    </w:p>
    <w:p w14:paraId="665B293F" w14:textId="77777777"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Ematologia/oncologia:</w:t>
      </w:r>
    </w:p>
    <w:p w14:paraId="665B2940" w14:textId="2C8B89C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Anemia emolitica autoimmune, porpora </w:t>
      </w:r>
      <w:proofErr w:type="spellStart"/>
      <w:r w:rsidRPr="00C53271">
        <w:rPr>
          <w:rFonts w:eastAsia="Times New Roman" w:cs="Arial"/>
          <w:bCs/>
          <w:color w:val="000000"/>
          <w:lang w:eastAsia="it-IT"/>
        </w:rPr>
        <w:t>trombocitopenica</w:t>
      </w:r>
      <w:proofErr w:type="spellEnd"/>
      <w:r w:rsidRPr="00C53271">
        <w:rPr>
          <w:rFonts w:eastAsia="Times New Roman" w:cs="Arial"/>
          <w:bCs/>
          <w:color w:val="000000"/>
          <w:lang w:eastAsia="it-IT"/>
        </w:rPr>
        <w:t xml:space="preserve"> idiopatica (malattia di </w:t>
      </w:r>
      <w:proofErr w:type="spellStart"/>
      <w:r w:rsidRPr="00C53271">
        <w:rPr>
          <w:rFonts w:eastAsia="Times New Roman" w:cs="Arial"/>
          <w:bCs/>
          <w:color w:val="000000"/>
          <w:lang w:eastAsia="it-IT"/>
        </w:rPr>
        <w:t>Werlhof</w:t>
      </w:r>
      <w:proofErr w:type="spellEnd"/>
      <w:r w:rsidRPr="00C53271">
        <w:rPr>
          <w:rFonts w:eastAsia="Times New Roman" w:cs="Arial"/>
          <w:bCs/>
          <w:color w:val="000000"/>
          <w:lang w:eastAsia="it-IT"/>
        </w:rPr>
        <w:t>), trombocitopenia acuta intermittente</w:t>
      </w:r>
    </w:p>
    <w:p w14:paraId="665B2941" w14:textId="0031C78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Leucemia linfoblastica acuta, morbo di </w:t>
      </w:r>
      <w:proofErr w:type="spellStart"/>
      <w:r w:rsidRPr="00C53271">
        <w:rPr>
          <w:rFonts w:eastAsia="Times New Roman" w:cs="Arial"/>
          <w:bCs/>
          <w:color w:val="000000"/>
          <w:lang w:eastAsia="it-IT"/>
        </w:rPr>
        <w:t>Hodgkin</w:t>
      </w:r>
      <w:proofErr w:type="spellEnd"/>
      <w:r w:rsidRPr="00C53271">
        <w:rPr>
          <w:rFonts w:eastAsia="Times New Roman" w:cs="Arial"/>
          <w:bCs/>
          <w:color w:val="000000"/>
          <w:lang w:eastAsia="it-IT"/>
        </w:rPr>
        <w:t>, linfoma non-</w:t>
      </w:r>
      <w:proofErr w:type="spellStart"/>
      <w:r w:rsidRPr="00C53271">
        <w:rPr>
          <w:rFonts w:eastAsia="Times New Roman" w:cs="Arial"/>
          <w:bCs/>
          <w:color w:val="000000"/>
          <w:lang w:eastAsia="it-IT"/>
        </w:rPr>
        <w:t>Hodgkin</w:t>
      </w:r>
      <w:proofErr w:type="spellEnd"/>
      <w:r w:rsidRPr="00C53271">
        <w:rPr>
          <w:rFonts w:eastAsia="Times New Roman" w:cs="Arial"/>
          <w:bCs/>
          <w:color w:val="000000"/>
          <w:lang w:eastAsia="it-IT"/>
        </w:rPr>
        <w:t xml:space="preserve">, leucemia linfatica cronica, morbo di </w:t>
      </w:r>
      <w:proofErr w:type="spellStart"/>
      <w:r w:rsidRPr="00C53271">
        <w:rPr>
          <w:rFonts w:eastAsia="Times New Roman" w:cs="Arial"/>
          <w:bCs/>
          <w:color w:val="000000"/>
          <w:lang w:eastAsia="it-IT"/>
        </w:rPr>
        <w:t>Waldenström</w:t>
      </w:r>
      <w:proofErr w:type="spellEnd"/>
      <w:r w:rsidRPr="00C53271">
        <w:rPr>
          <w:rFonts w:eastAsia="Times New Roman" w:cs="Arial"/>
          <w:bCs/>
          <w:color w:val="000000"/>
          <w:lang w:eastAsia="it-IT"/>
        </w:rPr>
        <w:t>, mieloma multiplo</w:t>
      </w:r>
    </w:p>
    <w:p w14:paraId="665B2942" w14:textId="10C041EA"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Ipercalcemia nelle neoplasie maligne sottostanti</w:t>
      </w:r>
    </w:p>
    <w:p w14:paraId="665B2943" w14:textId="2942496C"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Profilassi e terapia del vomito indotto citostatico, uso in schemi antiemetici</w:t>
      </w:r>
    </w:p>
    <w:p w14:paraId="665B2944"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Terapia palliativa delle malattie maligne</w:t>
      </w:r>
    </w:p>
    <w:p w14:paraId="665B2945" w14:textId="77777777" w:rsidR="00C77C09" w:rsidRPr="00C53271" w:rsidRDefault="00C77C09" w:rsidP="00C77C09">
      <w:pPr>
        <w:pStyle w:val="Corpotesto"/>
        <w:ind w:left="726"/>
        <w:jc w:val="both"/>
        <w:rPr>
          <w:rFonts w:asciiTheme="minorHAnsi" w:hAnsiTheme="minorHAnsi" w:cs="Arial"/>
          <w:bCs/>
          <w:color w:val="000000"/>
          <w:lang w:eastAsia="it-IT"/>
        </w:rPr>
      </w:pPr>
      <w:r w:rsidRPr="00C53271">
        <w:rPr>
          <w:rFonts w:asciiTheme="minorHAnsi" w:hAnsiTheme="minorHAnsi" w:cs="Arial"/>
          <w:bCs/>
          <w:color w:val="000000"/>
          <w:lang w:eastAsia="it-IT"/>
        </w:rPr>
        <w:t>Nota: il prednisone può essere usato per alleviare i sintomi, ad esempio inappetenza, anoressia e debolezza generale nelle neoplasie maligne avanzate, dopo che sono state esaurite le opzioni terapeutiche specifiche. Per maggiori dettagli consultare la letteratura medica corrente.</w:t>
      </w:r>
    </w:p>
    <w:p w14:paraId="665B2946" w14:textId="77777777" w:rsidR="00C77C09" w:rsidRPr="00C53271" w:rsidRDefault="00C77C09" w:rsidP="00C77C09">
      <w:pPr>
        <w:pStyle w:val="Corpotesto"/>
        <w:rPr>
          <w:rFonts w:asciiTheme="minorHAnsi" w:hAnsiTheme="minorHAnsi" w:cs="Arial"/>
          <w:bCs/>
          <w:color w:val="000000"/>
          <w:lang w:eastAsia="it-IT"/>
        </w:rPr>
      </w:pPr>
    </w:p>
    <w:p w14:paraId="665B2947" w14:textId="6F078920"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Neurologia:</w:t>
      </w:r>
    </w:p>
    <w:p w14:paraId="665B2948"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Miastenia grave (farmaco di prima scelta è </w:t>
      </w:r>
      <w:proofErr w:type="spellStart"/>
      <w:r w:rsidRPr="00C53271">
        <w:rPr>
          <w:rFonts w:eastAsia="Times New Roman" w:cs="Arial"/>
          <w:bCs/>
          <w:color w:val="000000"/>
          <w:lang w:eastAsia="it-IT"/>
        </w:rPr>
        <w:t>azatioprina</w:t>
      </w:r>
      <w:proofErr w:type="spellEnd"/>
      <w:r w:rsidRPr="00C53271">
        <w:rPr>
          <w:rFonts w:eastAsia="Times New Roman" w:cs="Arial"/>
          <w:bCs/>
          <w:color w:val="000000"/>
          <w:lang w:eastAsia="it-IT"/>
        </w:rPr>
        <w:t>)</w:t>
      </w:r>
    </w:p>
    <w:p w14:paraId="665B2949"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Sindrome di </w:t>
      </w:r>
      <w:proofErr w:type="spellStart"/>
      <w:r w:rsidRPr="00C53271">
        <w:rPr>
          <w:rFonts w:eastAsia="Times New Roman" w:cs="Arial"/>
          <w:bCs/>
          <w:color w:val="000000"/>
          <w:lang w:eastAsia="it-IT"/>
        </w:rPr>
        <w:t>Guillain-Barré</w:t>
      </w:r>
      <w:proofErr w:type="spellEnd"/>
      <w:r w:rsidRPr="00C53271">
        <w:rPr>
          <w:rFonts w:eastAsia="Times New Roman" w:cs="Arial"/>
          <w:bCs/>
          <w:color w:val="000000"/>
          <w:lang w:eastAsia="it-IT"/>
        </w:rPr>
        <w:t xml:space="preserve"> cronica.</w:t>
      </w:r>
    </w:p>
    <w:p w14:paraId="665B294A"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Sindrome di Tolosa-</w:t>
      </w:r>
      <w:proofErr w:type="spellStart"/>
      <w:r w:rsidRPr="00C53271">
        <w:rPr>
          <w:rFonts w:eastAsia="Times New Roman" w:cs="Arial"/>
          <w:bCs/>
          <w:color w:val="000000"/>
          <w:lang w:eastAsia="it-IT"/>
        </w:rPr>
        <w:t>Hunt</w:t>
      </w:r>
      <w:proofErr w:type="spellEnd"/>
    </w:p>
    <w:p w14:paraId="665B294B"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Polineuropatia in </w:t>
      </w:r>
      <w:proofErr w:type="spellStart"/>
      <w:r w:rsidRPr="00C53271">
        <w:rPr>
          <w:rFonts w:eastAsia="Times New Roman" w:cs="Arial"/>
          <w:bCs/>
          <w:color w:val="000000"/>
          <w:lang w:eastAsia="it-IT"/>
        </w:rPr>
        <w:t>gammopatia</w:t>
      </w:r>
      <w:proofErr w:type="spellEnd"/>
      <w:r w:rsidRPr="00C53271">
        <w:rPr>
          <w:rFonts w:eastAsia="Times New Roman" w:cs="Arial"/>
          <w:bCs/>
          <w:color w:val="000000"/>
          <w:lang w:eastAsia="it-IT"/>
        </w:rPr>
        <w:t xml:space="preserve"> monoclonale</w:t>
      </w:r>
    </w:p>
    <w:p w14:paraId="665B294C"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Sclerosi multipla (diminuendo la dose gradualmente fino alla sospensione dopo aver somministrato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ad alte dosi</w:t>
      </w:r>
      <w:r w:rsidR="00752F7C">
        <w:rPr>
          <w:rFonts w:eastAsia="Times New Roman" w:cs="Arial"/>
          <w:bCs/>
          <w:color w:val="000000"/>
          <w:lang w:eastAsia="it-IT"/>
        </w:rPr>
        <w:t xml:space="preserve"> per via parenterale nella fase</w:t>
      </w:r>
      <w:r w:rsidRPr="00C53271">
        <w:rPr>
          <w:rFonts w:eastAsia="Times New Roman" w:cs="Arial"/>
          <w:bCs/>
          <w:color w:val="000000"/>
          <w:lang w:eastAsia="it-IT"/>
        </w:rPr>
        <w:t xml:space="preserve"> acuta)</w:t>
      </w:r>
    </w:p>
    <w:p w14:paraId="665B294D"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Sind</w:t>
      </w:r>
      <w:r w:rsidR="00752F7C">
        <w:rPr>
          <w:rFonts w:eastAsia="Times New Roman" w:cs="Arial"/>
          <w:bCs/>
          <w:color w:val="000000"/>
          <w:lang w:eastAsia="it-IT"/>
        </w:rPr>
        <w:t xml:space="preserve">rome di West </w:t>
      </w:r>
      <w:r w:rsidRPr="00C53271">
        <w:rPr>
          <w:rFonts w:eastAsia="Times New Roman" w:cs="Arial"/>
          <w:bCs/>
          <w:color w:val="000000"/>
          <w:lang w:eastAsia="it-IT"/>
        </w:rPr>
        <w:t>(Spasmi infantili)</w:t>
      </w:r>
    </w:p>
    <w:p w14:paraId="665B294E" w14:textId="77777777" w:rsidR="00C77C09" w:rsidRPr="00C53271" w:rsidRDefault="00C77C09" w:rsidP="00C77C09">
      <w:pPr>
        <w:pStyle w:val="Corpotesto"/>
        <w:jc w:val="both"/>
        <w:rPr>
          <w:rFonts w:asciiTheme="minorHAnsi" w:hAnsiTheme="minorHAnsi" w:cs="Arial"/>
          <w:bCs/>
          <w:color w:val="000000"/>
          <w:lang w:eastAsia="it-IT"/>
        </w:rPr>
      </w:pPr>
    </w:p>
    <w:p w14:paraId="665B294F" w14:textId="77777777"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Infettivologia:</w:t>
      </w:r>
    </w:p>
    <w:p w14:paraId="665B2950" w14:textId="22C6D126"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Condizioni tossiche associate a gravi malattie infettive (in associazione con antibiotici/chemioterapia), ad es. meningite tubercolare, tubercolosi polmonare grave </w:t>
      </w:r>
    </w:p>
    <w:p w14:paraId="665B2951" w14:textId="77777777" w:rsidR="00C77C09" w:rsidRPr="00C53271" w:rsidRDefault="00C77C09" w:rsidP="00C77C09">
      <w:pPr>
        <w:pStyle w:val="Corpotesto"/>
        <w:jc w:val="both"/>
        <w:rPr>
          <w:rFonts w:asciiTheme="minorHAnsi" w:hAnsiTheme="minorHAnsi" w:cs="Arial"/>
          <w:bCs/>
          <w:color w:val="000000"/>
          <w:lang w:eastAsia="it-IT"/>
        </w:rPr>
      </w:pPr>
    </w:p>
    <w:p w14:paraId="665B2952" w14:textId="0C4E2C98" w:rsidR="00C77C09" w:rsidRPr="00C53271" w:rsidRDefault="00C77C09" w:rsidP="00C77C09">
      <w:pPr>
        <w:pStyle w:val="Titolo2"/>
        <w:ind w:left="0"/>
        <w:jc w:val="both"/>
        <w:rPr>
          <w:rFonts w:asciiTheme="minorHAnsi" w:hAnsiTheme="minorHAnsi" w:cs="Arial"/>
          <w:b w:val="0"/>
          <w:color w:val="000000"/>
          <w:lang w:eastAsia="it-IT"/>
        </w:rPr>
      </w:pPr>
      <w:r w:rsidRPr="00944138">
        <w:rPr>
          <w:rFonts w:asciiTheme="minorHAnsi" w:hAnsiTheme="minorHAnsi" w:cs="Arial"/>
          <w:bCs w:val="0"/>
          <w:color w:val="000000"/>
          <w:lang w:eastAsia="it-IT"/>
        </w:rPr>
        <w:t>Patologie oftalmiche:</w:t>
      </w:r>
    </w:p>
    <w:p w14:paraId="665B2953"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Nelle malattie sistemiche che coinvolgono l'occhio e nei processi immunologici nell'orbita e nell'occhio: neuropatia ottica (ad es. arterite a cellule giganti, neuropatia ottica ischemica anteriore (NOIA), neuropatia ottica traumatica), malattia di </w:t>
      </w:r>
      <w:proofErr w:type="spellStart"/>
      <w:r w:rsidRPr="00C53271">
        <w:rPr>
          <w:rFonts w:eastAsia="Times New Roman" w:cs="Arial"/>
          <w:bCs/>
          <w:color w:val="000000"/>
          <w:lang w:eastAsia="it-IT"/>
        </w:rPr>
        <w:t>Behçet</w:t>
      </w:r>
      <w:proofErr w:type="spellEnd"/>
      <w:r w:rsidRPr="00C53271">
        <w:rPr>
          <w:rFonts w:eastAsia="Times New Roman" w:cs="Arial"/>
          <w:bCs/>
          <w:color w:val="000000"/>
          <w:lang w:eastAsia="it-IT"/>
        </w:rPr>
        <w:t xml:space="preserve">, sarcoidosi, </w:t>
      </w:r>
      <w:proofErr w:type="spellStart"/>
      <w:r w:rsidRPr="00C53271">
        <w:rPr>
          <w:rFonts w:eastAsia="Times New Roman" w:cs="Arial"/>
          <w:bCs/>
          <w:color w:val="000000"/>
          <w:lang w:eastAsia="it-IT"/>
        </w:rPr>
        <w:t>orbitopatia</w:t>
      </w:r>
      <w:proofErr w:type="spellEnd"/>
      <w:r w:rsidRPr="00C53271">
        <w:rPr>
          <w:rFonts w:eastAsia="Times New Roman" w:cs="Arial"/>
          <w:bCs/>
          <w:color w:val="000000"/>
          <w:lang w:eastAsia="it-IT"/>
        </w:rPr>
        <w:t xml:space="preserve"> endocrina, </w:t>
      </w:r>
      <w:proofErr w:type="spellStart"/>
      <w:r w:rsidRPr="00C53271">
        <w:rPr>
          <w:rFonts w:eastAsia="Times New Roman" w:cs="Arial"/>
          <w:bCs/>
          <w:color w:val="000000"/>
          <w:lang w:eastAsia="it-IT"/>
        </w:rPr>
        <w:t>pseudotumore</w:t>
      </w:r>
      <w:proofErr w:type="spellEnd"/>
      <w:r w:rsidRPr="00C53271">
        <w:rPr>
          <w:rFonts w:eastAsia="Times New Roman" w:cs="Arial"/>
          <w:bCs/>
          <w:color w:val="000000"/>
          <w:lang w:eastAsia="it-IT"/>
        </w:rPr>
        <w:t xml:space="preserve"> dell'orbita, rigetto del trapianto e in alcune uveiti come la malattia di </w:t>
      </w:r>
      <w:proofErr w:type="spellStart"/>
      <w:r w:rsidRPr="00C53271">
        <w:rPr>
          <w:rFonts w:eastAsia="Times New Roman" w:cs="Arial"/>
          <w:bCs/>
          <w:color w:val="000000"/>
          <w:lang w:eastAsia="it-IT"/>
        </w:rPr>
        <w:t>Harada</w:t>
      </w:r>
      <w:proofErr w:type="spellEnd"/>
      <w:r w:rsidRPr="00C53271">
        <w:rPr>
          <w:rFonts w:eastAsia="Times New Roman" w:cs="Arial"/>
          <w:bCs/>
          <w:color w:val="000000"/>
          <w:lang w:eastAsia="it-IT"/>
        </w:rPr>
        <w:t xml:space="preserve"> e l'oftalmia simpatica</w:t>
      </w:r>
    </w:p>
    <w:p w14:paraId="665B2954" w14:textId="7777777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La somministrazione sistemica è indicata solo dopo un trattamento locale infruttuoso nelle seguenti malattie: sclerite, episclerite, cheratite, ciclite cronica, uveite, congiuntivite allergica, ustioni chimiche </w:t>
      </w:r>
      <w:r w:rsidRPr="00C53271">
        <w:rPr>
          <w:rFonts w:eastAsia="Times New Roman" w:cs="Arial"/>
          <w:bCs/>
          <w:color w:val="000000"/>
          <w:lang w:eastAsia="it-IT"/>
        </w:rPr>
        <w:lastRenderedPageBreak/>
        <w:t>da alcali, in associazione con terapia antimicrobica nella cheratite interstiziale autoimmune o associata alla sifilide, in cheratite stromale da herpes simplex solo se l'epitelio corneale è integro e controlli oculistici regolari</w:t>
      </w:r>
    </w:p>
    <w:p w14:paraId="665B2955" w14:textId="77777777" w:rsidR="00C77C09" w:rsidRPr="00C53271" w:rsidRDefault="00C77C09" w:rsidP="00C77C09">
      <w:pPr>
        <w:pStyle w:val="Corpotesto"/>
        <w:jc w:val="both"/>
        <w:rPr>
          <w:rFonts w:asciiTheme="minorHAnsi" w:hAnsiTheme="minorHAnsi" w:cs="Arial"/>
          <w:bCs/>
          <w:color w:val="000000"/>
          <w:lang w:eastAsia="it-IT"/>
        </w:rPr>
      </w:pPr>
    </w:p>
    <w:p w14:paraId="665B2956" w14:textId="77777777"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Gastroenterologia/epatologia:</w:t>
      </w:r>
    </w:p>
    <w:p w14:paraId="665B2957" w14:textId="2E116ADB"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Colite ulcerosa</w:t>
      </w:r>
    </w:p>
    <w:p w14:paraId="665B2958" w14:textId="6D3D30C4"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Malattia di </w:t>
      </w:r>
      <w:proofErr w:type="spellStart"/>
      <w:r w:rsidRPr="00C53271">
        <w:rPr>
          <w:rFonts w:eastAsia="Times New Roman" w:cs="Arial"/>
          <w:bCs/>
          <w:color w:val="000000"/>
          <w:lang w:eastAsia="it-IT"/>
        </w:rPr>
        <w:t>Crohn</w:t>
      </w:r>
      <w:proofErr w:type="spellEnd"/>
    </w:p>
    <w:p w14:paraId="665B2959" w14:textId="5F84CDE8"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Epatite autoimmune</w:t>
      </w:r>
    </w:p>
    <w:p w14:paraId="665B295A" w14:textId="04DC1D1E"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Ustione dell’esofago</w:t>
      </w:r>
    </w:p>
    <w:p w14:paraId="665B295B" w14:textId="77777777" w:rsidR="00C77C09" w:rsidRPr="00C53271" w:rsidRDefault="00C77C09" w:rsidP="00C77C09">
      <w:pPr>
        <w:tabs>
          <w:tab w:val="left" w:pos="726"/>
          <w:tab w:val="left" w:pos="727"/>
        </w:tabs>
        <w:ind w:left="159"/>
        <w:jc w:val="both"/>
        <w:rPr>
          <w:rFonts w:eastAsia="Times New Roman" w:cs="Arial"/>
          <w:bCs/>
          <w:color w:val="000000"/>
          <w:lang w:eastAsia="it-IT"/>
        </w:rPr>
      </w:pPr>
    </w:p>
    <w:p w14:paraId="665B295C" w14:textId="77777777" w:rsidR="00C77C09" w:rsidRPr="00944138" w:rsidRDefault="00C77C09" w:rsidP="00C77C0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Nefrologia:</w:t>
      </w:r>
    </w:p>
    <w:p w14:paraId="665B295D" w14:textId="0B55C79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Glomerulonefrite a lesioni minime </w:t>
      </w:r>
    </w:p>
    <w:p w14:paraId="665B295E" w14:textId="6AEFF76D"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Glomerulonefrite proliferativa-</w:t>
      </w:r>
      <w:proofErr w:type="spellStart"/>
      <w:r w:rsidRPr="00C53271">
        <w:rPr>
          <w:rFonts w:eastAsia="Times New Roman" w:cs="Arial"/>
          <w:bCs/>
          <w:color w:val="000000"/>
          <w:lang w:eastAsia="it-IT"/>
        </w:rPr>
        <w:t>extracapillare</w:t>
      </w:r>
      <w:proofErr w:type="spellEnd"/>
      <w:r w:rsidRPr="00C53271">
        <w:rPr>
          <w:rFonts w:eastAsia="Times New Roman" w:cs="Arial"/>
          <w:bCs/>
          <w:color w:val="000000"/>
          <w:lang w:eastAsia="it-IT"/>
        </w:rPr>
        <w:t xml:space="preserve"> (glomerulonefrite rapidamente progressiva) (terapia intermittente [</w:t>
      </w:r>
      <w:proofErr w:type="spellStart"/>
      <w:r w:rsidRPr="00C53271">
        <w:rPr>
          <w:rFonts w:eastAsia="Times New Roman" w:cs="Arial"/>
          <w:bCs/>
          <w:i/>
          <w:iCs/>
          <w:color w:val="000000"/>
          <w:lang w:eastAsia="it-IT"/>
        </w:rPr>
        <w:t>pulse</w:t>
      </w:r>
      <w:proofErr w:type="spellEnd"/>
      <w:r w:rsidRPr="00C53271">
        <w:rPr>
          <w:rFonts w:eastAsia="Times New Roman" w:cs="Arial"/>
          <w:bCs/>
          <w:i/>
          <w:iCs/>
          <w:color w:val="000000"/>
          <w:lang w:eastAsia="it-IT"/>
        </w:rPr>
        <w:t xml:space="preserve"> </w:t>
      </w:r>
      <w:proofErr w:type="spellStart"/>
      <w:r w:rsidRPr="00C53271">
        <w:rPr>
          <w:rFonts w:eastAsia="Times New Roman" w:cs="Arial"/>
          <w:bCs/>
          <w:i/>
          <w:iCs/>
          <w:color w:val="000000"/>
          <w:lang w:eastAsia="it-IT"/>
        </w:rPr>
        <w:t>therapy</w:t>
      </w:r>
      <w:proofErr w:type="spellEnd"/>
      <w:r w:rsidRPr="00C53271">
        <w:rPr>
          <w:rFonts w:eastAsia="Times New Roman" w:cs="Arial"/>
          <w:bCs/>
          <w:color w:val="000000"/>
          <w:lang w:eastAsia="it-IT"/>
        </w:rPr>
        <w:t xml:space="preserve">] ad alto dosaggio, di regola in associazione con agenti citostatici), nella sindrome di </w:t>
      </w:r>
      <w:proofErr w:type="spellStart"/>
      <w:r w:rsidRPr="00C53271">
        <w:rPr>
          <w:rFonts w:eastAsia="Times New Roman" w:cs="Arial"/>
          <w:bCs/>
          <w:color w:val="000000"/>
          <w:lang w:eastAsia="it-IT"/>
        </w:rPr>
        <w:t>Goodpasture</w:t>
      </w:r>
      <w:proofErr w:type="spellEnd"/>
      <w:r w:rsidRPr="00C53271">
        <w:rPr>
          <w:rFonts w:eastAsia="Times New Roman" w:cs="Arial"/>
          <w:bCs/>
          <w:color w:val="000000"/>
          <w:lang w:eastAsia="it-IT"/>
        </w:rPr>
        <w:t xml:space="preserve"> riduzione e interruzione del trattamento, in tutte le altre forme di continuazione a lungo termine della terapia </w:t>
      </w:r>
    </w:p>
    <w:p w14:paraId="665B295F" w14:textId="12F3F587" w:rsidR="00C77C09" w:rsidRPr="00C53271" w:rsidRDefault="00C77C09" w:rsidP="00C77C0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Fibrosi retroperitoneale idiopatica </w:t>
      </w:r>
    </w:p>
    <w:p w14:paraId="665B2960" w14:textId="77777777" w:rsidR="00C77C09" w:rsidRDefault="00C77C09" w:rsidP="00C77C09">
      <w:pPr>
        <w:pStyle w:val="Corpotesto"/>
        <w:jc w:val="both"/>
        <w:rPr>
          <w:rFonts w:asciiTheme="minorHAnsi" w:hAnsiTheme="minorHAnsi" w:cs="Arial"/>
          <w:bCs/>
          <w:color w:val="000000"/>
          <w:lang w:eastAsia="it-IT"/>
        </w:rPr>
      </w:pPr>
    </w:p>
    <w:p w14:paraId="665B2961" w14:textId="77777777" w:rsidR="00AF3F27" w:rsidRPr="00C53271" w:rsidRDefault="00AF3F27" w:rsidP="00C77C09">
      <w:pPr>
        <w:pStyle w:val="Corpotesto"/>
        <w:jc w:val="both"/>
        <w:rPr>
          <w:rFonts w:asciiTheme="minorHAnsi" w:hAnsiTheme="minorHAnsi" w:cs="Arial"/>
          <w:bCs/>
          <w:color w:val="000000"/>
          <w:lang w:eastAsia="it-IT"/>
        </w:rPr>
      </w:pPr>
    </w:p>
    <w:p w14:paraId="665B2962" w14:textId="1E74C40C" w:rsidR="0042214D" w:rsidRPr="00900C91" w:rsidRDefault="0042214D" w:rsidP="0042214D">
      <w:pPr>
        <w:spacing w:after="0" w:line="240" w:lineRule="auto"/>
        <w:jc w:val="both"/>
      </w:pPr>
      <w:r w:rsidRPr="007461B9">
        <w:t xml:space="preserve">La richiesta di AIC è supportata da uno studio di </w:t>
      </w:r>
      <w:proofErr w:type="spellStart"/>
      <w:r w:rsidRPr="007461B9">
        <w:t>bioequivalenza</w:t>
      </w:r>
      <w:proofErr w:type="spellEnd"/>
      <w:r w:rsidRPr="007461B9">
        <w:t xml:space="preserve"> che ha confrontato i profili farmacocinetici</w:t>
      </w:r>
      <w:r w:rsidRPr="00900C91">
        <w:t xml:space="preserve"> del medicinale test </w:t>
      </w:r>
      <w:r w:rsidR="009D775A">
        <w:rPr>
          <w:rFonts w:eastAsia="Calibri" w:cs="Calibri"/>
          <w:color w:val="000000"/>
          <w:lang w:eastAsia="it-IT"/>
        </w:rPr>
        <w:t>VAPREDIS</w:t>
      </w:r>
      <w:r>
        <w:rPr>
          <w:rFonts w:eastAsia="Calibri" w:cs="Calibri"/>
          <w:color w:val="000000"/>
          <w:lang w:eastAsia="it-IT"/>
        </w:rPr>
        <w:t xml:space="preserve"> </w:t>
      </w:r>
      <w:r w:rsidRPr="00900C91">
        <w:t>e quelli del medicinale</w:t>
      </w:r>
      <w:r>
        <w:t xml:space="preserve"> di riferimento</w:t>
      </w:r>
      <w:r w:rsidRPr="00900C91">
        <w:t xml:space="preserve"> </w:t>
      </w:r>
      <w:r w:rsidR="00AF3F27">
        <w:t>DECORTIN</w:t>
      </w:r>
      <w:r>
        <w:t xml:space="preserve"> autorizzato in </w:t>
      </w:r>
      <w:r w:rsidR="00AF3F27">
        <w:t>UE</w:t>
      </w:r>
      <w:r w:rsidRPr="00900C91">
        <w:t>.</w:t>
      </w:r>
    </w:p>
    <w:p w14:paraId="665B2963" w14:textId="77777777" w:rsidR="0042214D" w:rsidRDefault="0042214D" w:rsidP="0042214D">
      <w:pPr>
        <w:spacing w:after="0" w:line="240" w:lineRule="auto"/>
        <w:jc w:val="both"/>
      </w:pPr>
      <w:r w:rsidRPr="00900C91">
        <w:t xml:space="preserve">Lo studio di </w:t>
      </w:r>
      <w:proofErr w:type="spellStart"/>
      <w:r w:rsidRPr="00900C91">
        <w:t>bioequivalenza</w:t>
      </w:r>
      <w:proofErr w:type="spellEnd"/>
      <w:r w:rsidRPr="00900C91">
        <w:t xml:space="preserve"> è stato condotto in conformità alle linee guida di Buona Pratica Clinica (</w:t>
      </w:r>
      <w:proofErr w:type="spellStart"/>
      <w:r w:rsidRPr="00900C91">
        <w:rPr>
          <w:i/>
        </w:rPr>
        <w:t>Good</w:t>
      </w:r>
      <w:proofErr w:type="spellEnd"/>
      <w:r w:rsidRPr="00900C91">
        <w:rPr>
          <w:i/>
        </w:rPr>
        <w:t xml:space="preserve"> </w:t>
      </w:r>
      <w:proofErr w:type="spellStart"/>
      <w:r w:rsidRPr="00900C91">
        <w:rPr>
          <w:i/>
        </w:rPr>
        <w:t>Clinical</w:t>
      </w:r>
      <w:proofErr w:type="spellEnd"/>
      <w:r w:rsidRPr="00900C91">
        <w:rPr>
          <w:i/>
        </w:rPr>
        <w:t xml:space="preserve"> </w:t>
      </w:r>
      <w:proofErr w:type="spellStart"/>
      <w:r w:rsidRPr="00900C91">
        <w:rPr>
          <w:i/>
        </w:rPr>
        <w:t>Practice</w:t>
      </w:r>
      <w:proofErr w:type="spellEnd"/>
      <w:r w:rsidRPr="00900C91">
        <w:t xml:space="preserve"> - GCP).</w:t>
      </w:r>
    </w:p>
    <w:p w14:paraId="665B2964" w14:textId="77777777" w:rsidR="00F964BE" w:rsidRDefault="00F964BE" w:rsidP="0042214D">
      <w:pPr>
        <w:spacing w:after="0" w:line="240" w:lineRule="auto"/>
        <w:jc w:val="both"/>
      </w:pPr>
    </w:p>
    <w:p w14:paraId="665B2965" w14:textId="7389E96F" w:rsidR="00D36F9A" w:rsidRPr="002D5520" w:rsidRDefault="009D775A" w:rsidP="00D36F9A">
      <w:pPr>
        <w:widowControl w:val="0"/>
        <w:spacing w:after="0" w:line="240" w:lineRule="auto"/>
        <w:jc w:val="both"/>
        <w:rPr>
          <w:rFonts w:eastAsia="Calibri" w:cs="Calibri"/>
          <w:color w:val="000000"/>
          <w:lang w:eastAsia="it-IT"/>
        </w:rPr>
      </w:pPr>
      <w:r>
        <w:rPr>
          <w:rFonts w:eastAsia="Calibri" w:cs="Calibri"/>
          <w:color w:val="000000"/>
          <w:lang w:eastAsia="it-IT"/>
        </w:rPr>
        <w:t>VAPREDIS</w:t>
      </w:r>
      <w:r w:rsidR="00AF3F27">
        <w:rPr>
          <w:rFonts w:eastAsia="Calibri" w:cs="Calibri"/>
          <w:color w:val="000000"/>
          <w:lang w:eastAsia="it-IT"/>
        </w:rPr>
        <w:t xml:space="preserve">, nel dosaggio da 25 mg, </w:t>
      </w:r>
      <w:r w:rsidR="00D36F9A" w:rsidRPr="002D5520">
        <w:rPr>
          <w:rFonts w:eastAsia="Calibri" w:cs="Calibri"/>
          <w:color w:val="000000"/>
          <w:lang w:eastAsia="it-IT"/>
        </w:rPr>
        <w:t xml:space="preserve">è un “medicinale generico ibrido” ed è considerato </w:t>
      </w:r>
      <w:r w:rsidR="00712DB3">
        <w:rPr>
          <w:rFonts w:eastAsia="Calibri" w:cs="Calibri"/>
          <w:color w:val="000000"/>
          <w:lang w:eastAsia="it-IT"/>
        </w:rPr>
        <w:t xml:space="preserve">terapeuticamente equivalente </w:t>
      </w:r>
      <w:r w:rsidR="00D36F9A" w:rsidRPr="002D5520">
        <w:rPr>
          <w:rFonts w:eastAsia="Calibri" w:cs="Calibri"/>
          <w:color w:val="000000"/>
          <w:lang w:eastAsia="it-IT"/>
        </w:rPr>
        <w:t xml:space="preserve">al medicinale di riferimento </w:t>
      </w:r>
      <w:r w:rsidR="00AF3F27">
        <w:rPr>
          <w:rFonts w:eastAsia="Calibri" w:cs="Calibri"/>
          <w:color w:val="000000"/>
          <w:lang w:eastAsia="it-IT"/>
        </w:rPr>
        <w:t>DECORTIN</w:t>
      </w:r>
      <w:r w:rsidR="00D36F9A" w:rsidRPr="002D5520">
        <w:rPr>
          <w:rFonts w:eastAsia="Calibri" w:cs="Calibri"/>
          <w:color w:val="000000"/>
          <w:lang w:eastAsia="it-IT"/>
        </w:rPr>
        <w:t>, quindi con lo stesso rapporto rischio/ beneficio.</w:t>
      </w:r>
    </w:p>
    <w:p w14:paraId="665B2966" w14:textId="69FCF26D" w:rsidR="00D36F9A" w:rsidRPr="002D5520" w:rsidRDefault="00D36F9A" w:rsidP="00D36F9A">
      <w:pPr>
        <w:widowControl w:val="0"/>
        <w:spacing w:after="0" w:line="240" w:lineRule="auto"/>
        <w:jc w:val="both"/>
        <w:rPr>
          <w:rFonts w:eastAsia="Calibri" w:cs="Calibri"/>
          <w:color w:val="000000"/>
          <w:u w:val="single"/>
          <w:lang w:eastAsia="it-IT"/>
        </w:rPr>
      </w:pPr>
      <w:r>
        <w:rPr>
          <w:rFonts w:eastAsia="Calibri" w:cs="Calibri"/>
          <w:color w:val="000000"/>
          <w:lang w:eastAsia="it-IT"/>
        </w:rPr>
        <w:t xml:space="preserve">Poiché </w:t>
      </w:r>
      <w:r w:rsidR="009D775A">
        <w:rPr>
          <w:rFonts w:eastAsia="Calibri" w:cs="Calibri"/>
          <w:color w:val="000000"/>
          <w:lang w:eastAsia="it-IT"/>
        </w:rPr>
        <w:t>VAPREDIS</w:t>
      </w:r>
      <w:r w:rsidRPr="002D5520">
        <w:rPr>
          <w:rFonts w:eastAsia="Calibri" w:cs="Calibri"/>
          <w:color w:val="000000"/>
          <w:lang w:eastAsia="it-IT"/>
        </w:rPr>
        <w:t xml:space="preserve"> </w:t>
      </w:r>
      <w:r w:rsidR="00AF3F27">
        <w:rPr>
          <w:rFonts w:eastAsia="Calibri" w:cs="Calibri"/>
          <w:color w:val="000000"/>
          <w:lang w:eastAsia="it-IT"/>
        </w:rPr>
        <w:t xml:space="preserve">25 mg </w:t>
      </w:r>
      <w:r w:rsidRPr="002D5520">
        <w:rPr>
          <w:rFonts w:eastAsia="Calibri" w:cs="Calibri"/>
          <w:color w:val="000000"/>
          <w:lang w:eastAsia="it-IT"/>
        </w:rPr>
        <w:t>è un “medicinale generico ibrido</w:t>
      </w:r>
      <w:r>
        <w:rPr>
          <w:rFonts w:eastAsia="Calibri" w:cs="Calibri"/>
          <w:color w:val="000000"/>
          <w:lang w:eastAsia="it-IT"/>
        </w:rPr>
        <w:t>”</w:t>
      </w:r>
      <w:r w:rsidRPr="00EB4398">
        <w:rPr>
          <w:rFonts w:eastAsia="Calibri" w:cs="Calibri"/>
          <w:color w:val="000000"/>
          <w:u w:val="single"/>
          <w:lang w:eastAsia="it-IT"/>
        </w:rPr>
        <w:t xml:space="preserve"> del medicinale </w:t>
      </w:r>
      <w:r w:rsidR="00A247C5">
        <w:rPr>
          <w:rFonts w:eastAsia="Calibri" w:cs="Calibri"/>
          <w:color w:val="000000"/>
          <w:u w:val="single"/>
          <w:lang w:eastAsia="it-IT"/>
        </w:rPr>
        <w:t>d</w:t>
      </w:r>
      <w:r w:rsidRPr="00EB4398">
        <w:rPr>
          <w:rFonts w:eastAsia="Calibri" w:cs="Calibri"/>
          <w:color w:val="000000"/>
          <w:u w:val="single"/>
          <w:lang w:eastAsia="it-IT"/>
        </w:rPr>
        <w:t xml:space="preserve">i riferimento </w:t>
      </w:r>
      <w:r w:rsidR="00AF3F27">
        <w:rPr>
          <w:rFonts w:eastAsia="Calibri" w:cs="Calibri"/>
          <w:color w:val="000000"/>
          <w:u w:val="single"/>
          <w:lang w:eastAsia="it-IT"/>
        </w:rPr>
        <w:t>DECORTIN</w:t>
      </w:r>
      <w:r w:rsidRPr="002D5520">
        <w:rPr>
          <w:rFonts w:eastAsia="Calibri" w:cs="Calibri"/>
          <w:color w:val="000000"/>
          <w:lang w:eastAsia="it-IT"/>
        </w:rPr>
        <w:t xml:space="preserve">, </w:t>
      </w:r>
      <w:r>
        <w:rPr>
          <w:rFonts w:eastAsia="Calibri" w:cs="Calibri"/>
          <w:color w:val="000000"/>
          <w:lang w:eastAsia="it-IT"/>
        </w:rPr>
        <w:t>c</w:t>
      </w:r>
      <w:r w:rsidRPr="002D5520">
        <w:rPr>
          <w:rFonts w:eastAsia="Calibri" w:cs="Calibri"/>
          <w:color w:val="000000"/>
          <w:u w:val="single"/>
          <w:lang w:eastAsia="it-IT"/>
        </w:rPr>
        <w:t>ontene</w:t>
      </w:r>
      <w:r w:rsidR="00712DB3">
        <w:rPr>
          <w:rFonts w:eastAsia="Calibri" w:cs="Calibri"/>
          <w:color w:val="000000"/>
          <w:u w:val="single"/>
          <w:lang w:eastAsia="it-IT"/>
        </w:rPr>
        <w:t>nte lo stesso principio attivo</w:t>
      </w:r>
      <w:r w:rsidRPr="002D5520">
        <w:rPr>
          <w:rFonts w:eastAsia="Calibri" w:cs="Calibri"/>
          <w:color w:val="000000"/>
          <w:u w:val="single"/>
          <w:lang w:eastAsia="it-IT"/>
        </w:rPr>
        <w:t xml:space="preserve"> ma </w:t>
      </w:r>
      <w:r w:rsidR="00AF3F27">
        <w:rPr>
          <w:rFonts w:eastAsia="Calibri" w:cs="Calibri"/>
          <w:color w:val="000000"/>
          <w:u w:val="single"/>
          <w:lang w:eastAsia="it-IT"/>
        </w:rPr>
        <w:t>un diverso dosaggio</w:t>
      </w:r>
      <w:r>
        <w:rPr>
          <w:rFonts w:eastAsia="Calibri" w:cs="Calibri"/>
          <w:color w:val="000000"/>
          <w:u w:val="single"/>
          <w:lang w:eastAsia="it-IT"/>
        </w:rPr>
        <w:t>, sono stat</w:t>
      </w:r>
      <w:r w:rsidR="00AF3F27">
        <w:rPr>
          <w:rFonts w:eastAsia="Calibri" w:cs="Calibri"/>
          <w:color w:val="000000"/>
          <w:u w:val="single"/>
          <w:lang w:eastAsia="it-IT"/>
        </w:rPr>
        <w:t xml:space="preserve">i presentati studi clinici per </w:t>
      </w:r>
      <w:r w:rsidR="009D775A">
        <w:rPr>
          <w:rFonts w:eastAsia="Calibri" w:cs="Calibri"/>
          <w:color w:val="000000"/>
          <w:lang w:eastAsia="it-IT"/>
        </w:rPr>
        <w:t>VAPREDIS</w:t>
      </w:r>
      <w:r>
        <w:rPr>
          <w:rFonts w:eastAsia="Calibri" w:cs="Calibri"/>
          <w:color w:val="000000"/>
          <w:lang w:eastAsia="it-IT"/>
        </w:rPr>
        <w:t xml:space="preserve"> per dimostrare l’efficacia e la sicurezza rispetto al prodotto di riferimento </w:t>
      </w:r>
      <w:r w:rsidR="00AF3F27" w:rsidRPr="00AF3F27">
        <w:rPr>
          <w:rFonts w:eastAsia="Calibri" w:cs="Calibri"/>
          <w:color w:val="000000"/>
          <w:lang w:eastAsia="it-IT"/>
        </w:rPr>
        <w:t>DECORTIN</w:t>
      </w:r>
      <w:r>
        <w:rPr>
          <w:rFonts w:eastAsia="Calibri" w:cs="Calibri"/>
          <w:color w:val="000000"/>
          <w:lang w:eastAsia="it-IT"/>
        </w:rPr>
        <w:t>.</w:t>
      </w:r>
    </w:p>
    <w:p w14:paraId="665B2967" w14:textId="77777777" w:rsidR="00F964BE" w:rsidRPr="00900C91" w:rsidRDefault="00F964BE" w:rsidP="0042214D">
      <w:pPr>
        <w:spacing w:after="0" w:line="240" w:lineRule="auto"/>
        <w:jc w:val="both"/>
      </w:pPr>
    </w:p>
    <w:p w14:paraId="665B2968" w14:textId="77777777" w:rsidR="004E5A39" w:rsidRDefault="004E5A39" w:rsidP="00EF6711">
      <w:pPr>
        <w:spacing w:after="0" w:line="240" w:lineRule="auto"/>
        <w:jc w:val="both"/>
      </w:pPr>
      <w:r w:rsidRPr="00EF6711">
        <w:t xml:space="preserve">Il sistema di Farmacovigilanza descritto dal titolare dell’AIC è conforme ai requisiti previsti dalla normativa corrente. </w:t>
      </w:r>
      <w:r w:rsidR="00391A2D" w:rsidRPr="00EF6711">
        <w:t>È</w:t>
      </w:r>
      <w:r w:rsidRPr="00EF6711">
        <w:t xml:space="preserve"> stato presentato un Piano di gestione del rischio (</w:t>
      </w:r>
      <w:proofErr w:type="spellStart"/>
      <w:r w:rsidRPr="00EF6711">
        <w:rPr>
          <w:i/>
        </w:rPr>
        <w:t>Risk</w:t>
      </w:r>
      <w:proofErr w:type="spellEnd"/>
      <w:r w:rsidRPr="00EF6711">
        <w:rPr>
          <w:i/>
        </w:rPr>
        <w:t xml:space="preserve"> Management Plan</w:t>
      </w:r>
      <w:r w:rsidRPr="00EF6711">
        <w:t xml:space="preserve"> – RMP) accettabile.</w:t>
      </w:r>
    </w:p>
    <w:p w14:paraId="665B2969" w14:textId="77777777" w:rsidR="00B862CA" w:rsidRDefault="00B862CA" w:rsidP="00EF6711">
      <w:pPr>
        <w:spacing w:after="0" w:line="240" w:lineRule="auto"/>
        <w:jc w:val="both"/>
      </w:pPr>
    </w:p>
    <w:p w14:paraId="665B296A" w14:textId="4EC1C62D" w:rsidR="004E5A39" w:rsidRDefault="004E5A39" w:rsidP="00EF6711">
      <w:pPr>
        <w:spacing w:after="0" w:line="240" w:lineRule="auto"/>
        <w:jc w:val="both"/>
      </w:pPr>
      <w:r w:rsidRPr="00EF6711">
        <w:t xml:space="preserve">Il titolare di AIC ha presentato una adeguata giustificazione della non presentazione della Valutazione del Rischio ambientale; questo approccio è accettabile in quanto </w:t>
      </w:r>
      <w:r w:rsidR="009D775A">
        <w:rPr>
          <w:rFonts w:eastAsia="Calibri" w:cs="Calibri"/>
          <w:color w:val="000000"/>
          <w:lang w:eastAsia="it-IT"/>
        </w:rPr>
        <w:t>VAPREDIS</w:t>
      </w:r>
      <w:r w:rsidR="00A046AC">
        <w:rPr>
          <w:rFonts w:eastAsia="Calibri" w:cs="Calibri"/>
          <w:color w:val="000000"/>
          <w:lang w:eastAsia="it-IT"/>
        </w:rPr>
        <w:t xml:space="preserve"> </w:t>
      </w:r>
      <w:r w:rsidRPr="00EF6711">
        <w:t xml:space="preserve">contiene </w:t>
      </w:r>
      <w:r w:rsidR="00265B61">
        <w:t xml:space="preserve">un </w:t>
      </w:r>
      <w:r w:rsidRPr="00EF6711">
        <w:t>principi</w:t>
      </w:r>
      <w:r w:rsidR="00265B61">
        <w:t>o</w:t>
      </w:r>
      <w:r w:rsidRPr="00EF6711">
        <w:t xml:space="preserve"> attiv</w:t>
      </w:r>
      <w:r w:rsidR="00265B61">
        <w:t>o</w:t>
      </w:r>
      <w:r w:rsidRPr="00EF6711">
        <w:t xml:space="preserve"> not</w:t>
      </w:r>
      <w:r w:rsidR="00265B61">
        <w:t>o</w:t>
      </w:r>
      <w:r w:rsidRPr="00EF6711">
        <w:t xml:space="preserve"> present</w:t>
      </w:r>
      <w:r w:rsidR="00265B61">
        <w:t>e</w:t>
      </w:r>
      <w:r w:rsidRPr="00EF6711">
        <w:t xml:space="preserve"> in medicinali autorizzati; inoltre, non sono presenti componenti geneticamente modificati; il metodo di produzione e la formulazione del medicinale non presentano problematiche di carattere ambientale.</w:t>
      </w:r>
    </w:p>
    <w:p w14:paraId="665B296B" w14:textId="77777777" w:rsidR="009F584E" w:rsidRDefault="009F584E" w:rsidP="00EF6711">
      <w:pPr>
        <w:spacing w:after="0" w:line="240" w:lineRule="auto"/>
        <w:jc w:val="both"/>
      </w:pPr>
    </w:p>
    <w:p w14:paraId="665B296C" w14:textId="77777777" w:rsidR="00747E46" w:rsidRPr="0035589B" w:rsidRDefault="00747E46" w:rsidP="00EF6711">
      <w:pPr>
        <w:spacing w:after="0" w:line="240" w:lineRule="auto"/>
        <w:jc w:val="both"/>
      </w:pPr>
    </w:p>
    <w:p w14:paraId="665B296D" w14:textId="77777777" w:rsidR="004E5A39" w:rsidRPr="0035589B" w:rsidRDefault="004E5A39" w:rsidP="00EF6711">
      <w:pPr>
        <w:pStyle w:val="Paragrafoelenco"/>
        <w:numPr>
          <w:ilvl w:val="0"/>
          <w:numId w:val="2"/>
        </w:numPr>
        <w:spacing w:after="0" w:line="240" w:lineRule="auto"/>
        <w:jc w:val="both"/>
        <w:rPr>
          <w:b/>
        </w:rPr>
      </w:pPr>
      <w:r w:rsidRPr="0035589B">
        <w:rPr>
          <w:b/>
        </w:rPr>
        <w:t>ASPETTI DI QUALITA’</w:t>
      </w:r>
    </w:p>
    <w:p w14:paraId="665B296E" w14:textId="77777777" w:rsidR="004E5A39" w:rsidRPr="0035589B" w:rsidRDefault="004E5A39" w:rsidP="00EF6711">
      <w:pPr>
        <w:spacing w:after="0" w:line="240" w:lineRule="auto"/>
        <w:jc w:val="both"/>
      </w:pPr>
      <w:r w:rsidRPr="0035589B">
        <w:rPr>
          <w:b/>
        </w:rPr>
        <w:t xml:space="preserve">II.1 PRINCIPIO ATTIVO </w:t>
      </w:r>
      <w:r w:rsidR="00471FEB" w:rsidRPr="0035589B">
        <w:rPr>
          <w:b/>
        </w:rPr>
        <w:t>Prednisone</w:t>
      </w:r>
    </w:p>
    <w:p w14:paraId="665B296F" w14:textId="77777777" w:rsidR="004E5A39" w:rsidRPr="0035589B" w:rsidRDefault="004E5A39" w:rsidP="00CC52A3">
      <w:pPr>
        <w:autoSpaceDE w:val="0"/>
        <w:autoSpaceDN w:val="0"/>
        <w:adjustRightInd w:val="0"/>
        <w:spacing w:after="0" w:line="240" w:lineRule="auto"/>
        <w:rPr>
          <w:highlight w:val="yellow"/>
        </w:rPr>
      </w:pPr>
      <w:r w:rsidRPr="0035589B">
        <w:rPr>
          <w:u w:val="single"/>
        </w:rPr>
        <w:t>Nome chimico</w:t>
      </w:r>
      <w:r w:rsidR="000E4494" w:rsidRPr="0035589B">
        <w:rPr>
          <w:i/>
          <w:iCs/>
        </w:rPr>
        <w:t xml:space="preserve"> </w:t>
      </w:r>
      <w:r w:rsidR="00471FEB" w:rsidRPr="0035589B">
        <w:rPr>
          <w:rFonts w:cs="Calibri"/>
        </w:rPr>
        <w:t>17α,21-dihydroxypregna-1,4-diene-3,11,20-trione</w:t>
      </w:r>
    </w:p>
    <w:p w14:paraId="665B2970" w14:textId="77777777" w:rsidR="004E5A39" w:rsidRPr="0035589B" w:rsidRDefault="004E5A39" w:rsidP="00EF6711">
      <w:pPr>
        <w:spacing w:after="0" w:line="240" w:lineRule="auto"/>
        <w:jc w:val="both"/>
      </w:pPr>
      <w:r w:rsidRPr="0035589B">
        <w:rPr>
          <w:u w:val="single"/>
        </w:rPr>
        <w:t>Struttura</w:t>
      </w:r>
      <w:r w:rsidRPr="0035589B">
        <w:t>:</w:t>
      </w:r>
    </w:p>
    <w:p w14:paraId="665B2971" w14:textId="77777777" w:rsidR="004E5A39" w:rsidRPr="0035589B" w:rsidRDefault="00471FEB" w:rsidP="00265B61">
      <w:pPr>
        <w:spacing w:after="0" w:line="240" w:lineRule="auto"/>
        <w:jc w:val="center"/>
        <w:rPr>
          <w:b/>
          <w:i/>
          <w:noProof/>
          <w:highlight w:val="green"/>
          <w:lang w:eastAsia="it-IT"/>
        </w:rPr>
      </w:pPr>
      <w:r w:rsidRPr="0035589B">
        <w:rPr>
          <w:noProof/>
          <w:lang w:eastAsia="it-IT"/>
        </w:rPr>
        <w:drawing>
          <wp:inline distT="0" distB="0" distL="0" distR="0" wp14:anchorId="665B2A80" wp14:editId="665B2A81">
            <wp:extent cx="1135748" cy="781050"/>
            <wp:effectExtent l="0" t="0" r="762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stretch>
                      <a:fillRect/>
                    </a:stretch>
                  </pic:blipFill>
                  <pic:spPr>
                    <a:xfrm>
                      <a:off x="0" y="0"/>
                      <a:ext cx="1142718" cy="785843"/>
                    </a:xfrm>
                    <a:prstGeom prst="rect">
                      <a:avLst/>
                    </a:prstGeom>
                  </pic:spPr>
                </pic:pic>
              </a:graphicData>
            </a:graphic>
          </wp:inline>
        </w:drawing>
      </w:r>
    </w:p>
    <w:p w14:paraId="665B2972" w14:textId="77777777" w:rsidR="004E5A39" w:rsidRPr="0035589B" w:rsidRDefault="004E5A39" w:rsidP="00EF6711">
      <w:pPr>
        <w:spacing w:after="0" w:line="240" w:lineRule="auto"/>
        <w:jc w:val="center"/>
        <w:rPr>
          <w:highlight w:val="yellow"/>
        </w:rPr>
      </w:pPr>
    </w:p>
    <w:p w14:paraId="665B2973" w14:textId="77777777" w:rsidR="004E5A39" w:rsidRPr="0035589B" w:rsidRDefault="004E5A39" w:rsidP="00EF6711">
      <w:pPr>
        <w:spacing w:after="0" w:line="240" w:lineRule="auto"/>
        <w:jc w:val="both"/>
      </w:pPr>
      <w:r w:rsidRPr="0035589B">
        <w:rPr>
          <w:u w:val="single"/>
        </w:rPr>
        <w:t>Formula molecolare</w:t>
      </w:r>
      <w:r w:rsidRPr="0035589B">
        <w:t>:</w:t>
      </w:r>
      <w:r w:rsidRPr="0035589B">
        <w:rPr>
          <w:rStyle w:val="s1"/>
          <w:rFonts w:asciiTheme="minorHAnsi" w:hAnsiTheme="minorHAnsi"/>
        </w:rPr>
        <w:t xml:space="preserve"> </w:t>
      </w:r>
      <w:r w:rsidR="00471FEB" w:rsidRPr="0035589B">
        <w:rPr>
          <w:rFonts w:cs="Calibri"/>
        </w:rPr>
        <w:t>C</w:t>
      </w:r>
      <w:r w:rsidR="00471FEB" w:rsidRPr="0035589B">
        <w:rPr>
          <w:rFonts w:cs="Calibri"/>
          <w:vertAlign w:val="subscript"/>
        </w:rPr>
        <w:t>21</w:t>
      </w:r>
      <w:r w:rsidR="00471FEB" w:rsidRPr="0035589B">
        <w:rPr>
          <w:rFonts w:cs="Calibri"/>
        </w:rPr>
        <w:t>H</w:t>
      </w:r>
      <w:r w:rsidR="00471FEB" w:rsidRPr="0035589B">
        <w:rPr>
          <w:rFonts w:cs="Calibri"/>
          <w:vertAlign w:val="subscript"/>
        </w:rPr>
        <w:t>26</w:t>
      </w:r>
      <w:r w:rsidR="00471FEB" w:rsidRPr="0035589B">
        <w:rPr>
          <w:rFonts w:cs="Calibri"/>
        </w:rPr>
        <w:t>O</w:t>
      </w:r>
      <w:r w:rsidR="00471FEB" w:rsidRPr="0035589B">
        <w:rPr>
          <w:rFonts w:cs="Calibri"/>
          <w:vertAlign w:val="subscript"/>
        </w:rPr>
        <w:t>5</w:t>
      </w:r>
    </w:p>
    <w:p w14:paraId="665B2974" w14:textId="77777777" w:rsidR="004E5A39" w:rsidRPr="0035589B" w:rsidRDefault="004E5A39" w:rsidP="00EF6711">
      <w:pPr>
        <w:spacing w:after="0" w:line="240" w:lineRule="auto"/>
        <w:jc w:val="both"/>
      </w:pPr>
      <w:r w:rsidRPr="0035589B">
        <w:rPr>
          <w:u w:val="single"/>
        </w:rPr>
        <w:t>Peso molecolare</w:t>
      </w:r>
      <w:r w:rsidRPr="0035589B">
        <w:t>:</w:t>
      </w:r>
      <w:r w:rsidRPr="0035589B">
        <w:rPr>
          <w:rFonts w:cs="Arial"/>
          <w:color w:val="252525"/>
          <w:shd w:val="clear" w:color="auto" w:fill="F9F9F9"/>
        </w:rPr>
        <w:t xml:space="preserve"> </w:t>
      </w:r>
      <w:r w:rsidR="00F2152F">
        <w:rPr>
          <w:rFonts w:cs="Calibri"/>
        </w:rPr>
        <w:t>358.4</w:t>
      </w:r>
      <w:r w:rsidR="009A23DE" w:rsidRPr="0035589B">
        <w:rPr>
          <w:rFonts w:cs="Calibri"/>
        </w:rPr>
        <w:t xml:space="preserve"> </w:t>
      </w:r>
      <w:r w:rsidRPr="0035589B">
        <w:rPr>
          <w:rStyle w:val="s1"/>
          <w:rFonts w:asciiTheme="minorHAnsi" w:hAnsiTheme="minorHAnsi"/>
        </w:rPr>
        <w:t>g/</w:t>
      </w:r>
      <w:proofErr w:type="spellStart"/>
      <w:r w:rsidRPr="0035589B">
        <w:rPr>
          <w:rStyle w:val="s1"/>
          <w:rFonts w:asciiTheme="minorHAnsi" w:hAnsiTheme="minorHAnsi"/>
        </w:rPr>
        <w:t>mol</w:t>
      </w:r>
      <w:proofErr w:type="spellEnd"/>
    </w:p>
    <w:p w14:paraId="665B2975" w14:textId="77777777" w:rsidR="004E5A39" w:rsidRPr="0035589B" w:rsidRDefault="004E5A39" w:rsidP="00EF6711">
      <w:pPr>
        <w:spacing w:after="0" w:line="240" w:lineRule="auto"/>
        <w:jc w:val="both"/>
      </w:pPr>
      <w:r w:rsidRPr="0035589B">
        <w:rPr>
          <w:u w:val="single"/>
        </w:rPr>
        <w:t>CAS</w:t>
      </w:r>
      <w:r w:rsidRPr="0035589B">
        <w:t xml:space="preserve">: </w:t>
      </w:r>
      <w:r w:rsidR="00CC52A3" w:rsidRPr="0035589B">
        <w:t>[</w:t>
      </w:r>
      <w:r w:rsidR="00471FEB" w:rsidRPr="0035589B">
        <w:t>53-03-2</w:t>
      </w:r>
      <w:r w:rsidR="00CC52A3" w:rsidRPr="0035589B">
        <w:t>]</w:t>
      </w:r>
    </w:p>
    <w:p w14:paraId="665B2976" w14:textId="77777777" w:rsidR="004E5A39" w:rsidRPr="0035589B" w:rsidRDefault="004E5A39" w:rsidP="00EF6711">
      <w:pPr>
        <w:spacing w:after="0" w:line="240" w:lineRule="auto"/>
        <w:jc w:val="both"/>
      </w:pPr>
      <w:r w:rsidRPr="0035589B">
        <w:rPr>
          <w:u w:val="single"/>
        </w:rPr>
        <w:t>Aspetto</w:t>
      </w:r>
      <w:r w:rsidRPr="00096026">
        <w:rPr>
          <w:rFonts w:cs="Calibri"/>
        </w:rPr>
        <w:t xml:space="preserve">: </w:t>
      </w:r>
      <w:r w:rsidR="00CC52A3" w:rsidRPr="00096026">
        <w:rPr>
          <w:rFonts w:cs="Calibri"/>
        </w:rPr>
        <w:t xml:space="preserve">polvere cristallina </w:t>
      </w:r>
      <w:r w:rsidR="00096026" w:rsidRPr="00096026">
        <w:rPr>
          <w:rFonts w:cs="Calibri"/>
        </w:rPr>
        <w:t>bianca o quasi bianca</w:t>
      </w:r>
      <w:r w:rsidR="00CC52A3" w:rsidRPr="00096026">
        <w:rPr>
          <w:rFonts w:cs="Calibri"/>
        </w:rPr>
        <w:t>.</w:t>
      </w:r>
    </w:p>
    <w:p w14:paraId="665B2977" w14:textId="3C5F31C5" w:rsidR="004E5A39" w:rsidRPr="0035589B" w:rsidRDefault="004E5A39" w:rsidP="00EF6711">
      <w:pPr>
        <w:spacing w:after="0" w:line="240" w:lineRule="auto"/>
        <w:jc w:val="both"/>
        <w:rPr>
          <w:rStyle w:val="s1"/>
          <w:rFonts w:asciiTheme="minorHAnsi" w:hAnsiTheme="minorHAnsi"/>
        </w:rPr>
      </w:pPr>
      <w:r w:rsidRPr="0035589B">
        <w:rPr>
          <w:u w:val="single"/>
        </w:rPr>
        <w:lastRenderedPageBreak/>
        <w:t>Solubilità</w:t>
      </w:r>
      <w:r w:rsidRPr="0035589B">
        <w:t xml:space="preserve">: </w:t>
      </w:r>
      <w:r w:rsidR="00977695">
        <w:t xml:space="preserve">praticamente insolubile in acqua, leggermente solubile in etanolo 96% e in </w:t>
      </w:r>
      <w:r w:rsidR="00EA1EA6">
        <w:t>cloruro di metilene</w:t>
      </w:r>
      <w:r w:rsidR="00977695">
        <w:t>.</w:t>
      </w:r>
    </w:p>
    <w:p w14:paraId="665B2978" w14:textId="77777777" w:rsidR="004E5A39" w:rsidRDefault="004E5A39" w:rsidP="00EF6711">
      <w:pPr>
        <w:spacing w:after="0" w:line="240" w:lineRule="auto"/>
        <w:jc w:val="both"/>
        <w:rPr>
          <w:highlight w:val="yellow"/>
        </w:rPr>
      </w:pPr>
    </w:p>
    <w:p w14:paraId="665B2979" w14:textId="77777777" w:rsidR="000B7AC8" w:rsidRPr="00A72D8A" w:rsidRDefault="000B7AC8" w:rsidP="000B7AC8">
      <w:pPr>
        <w:spacing w:after="0" w:line="240" w:lineRule="auto"/>
        <w:jc w:val="both"/>
      </w:pPr>
      <w:r w:rsidRPr="0037110B">
        <w:t>Il principio attivo è presente in Farmacopea Europea</w:t>
      </w:r>
      <w:r w:rsidRPr="00A72D8A">
        <w:t xml:space="preserve"> e il </w:t>
      </w:r>
      <w:proofErr w:type="spellStart"/>
      <w:r w:rsidRPr="00A72D8A">
        <w:t>Direttorato</w:t>
      </w:r>
      <w:proofErr w:type="spellEnd"/>
      <w:r w:rsidRPr="00A72D8A">
        <w:t xml:space="preserve"> Europeo per la Qualità dei Medicinali (</w:t>
      </w:r>
      <w:proofErr w:type="spellStart"/>
      <w:r w:rsidRPr="00A72D8A">
        <w:rPr>
          <w:i/>
        </w:rPr>
        <w:t>European</w:t>
      </w:r>
      <w:proofErr w:type="spellEnd"/>
      <w:r w:rsidRPr="00A72D8A">
        <w:rPr>
          <w:i/>
        </w:rPr>
        <w:t xml:space="preserve"> </w:t>
      </w:r>
      <w:proofErr w:type="spellStart"/>
      <w:r w:rsidRPr="00A72D8A">
        <w:rPr>
          <w:i/>
        </w:rPr>
        <w:t>Directorate</w:t>
      </w:r>
      <w:proofErr w:type="spellEnd"/>
      <w:r w:rsidRPr="00A72D8A">
        <w:rPr>
          <w:i/>
        </w:rPr>
        <w:t xml:space="preserve"> for </w:t>
      </w:r>
      <w:r w:rsidR="00747E46">
        <w:rPr>
          <w:i/>
        </w:rPr>
        <w:t xml:space="preserve">the </w:t>
      </w:r>
      <w:proofErr w:type="spellStart"/>
      <w:r w:rsidRPr="00A72D8A">
        <w:rPr>
          <w:i/>
        </w:rPr>
        <w:t>Quality</w:t>
      </w:r>
      <w:proofErr w:type="spellEnd"/>
      <w:r w:rsidRPr="00A72D8A">
        <w:rPr>
          <w:i/>
        </w:rPr>
        <w:t xml:space="preserve"> of </w:t>
      </w:r>
      <w:proofErr w:type="spellStart"/>
      <w:r w:rsidRPr="00A72D8A">
        <w:rPr>
          <w:i/>
        </w:rPr>
        <w:t>Medic</w:t>
      </w:r>
      <w:r w:rsidR="00747E46">
        <w:rPr>
          <w:i/>
        </w:rPr>
        <w:t>ines</w:t>
      </w:r>
      <w:proofErr w:type="spellEnd"/>
      <w:r w:rsidRPr="00A72D8A">
        <w:t xml:space="preserve"> – EDQM) ha rilasciato </w:t>
      </w:r>
      <w:r>
        <w:t xml:space="preserve">al produttore </w:t>
      </w:r>
      <w:r w:rsidRPr="00A72D8A">
        <w:t>il certificato di conformità alla Farmacopea Europea</w:t>
      </w:r>
      <w:r>
        <w:t>.</w:t>
      </w:r>
    </w:p>
    <w:p w14:paraId="665B297A" w14:textId="77777777" w:rsidR="000B7AC8" w:rsidRDefault="000B7AC8" w:rsidP="000B7AC8">
      <w:pPr>
        <w:spacing w:after="0" w:line="240" w:lineRule="auto"/>
        <w:jc w:val="both"/>
      </w:pPr>
      <w:r w:rsidRPr="00A72D8A">
        <w:t xml:space="preserve">Tutti gli aspetti di produzione e controllo sono coperti dal certificato di conformità alla Farmacopea Europea. </w:t>
      </w:r>
      <w:r w:rsidRPr="00F93450">
        <w:t xml:space="preserve">Il periodo di </w:t>
      </w:r>
      <w:proofErr w:type="spellStart"/>
      <w:r w:rsidRPr="00F93450">
        <w:t>retest</w:t>
      </w:r>
      <w:proofErr w:type="spellEnd"/>
      <w:r w:rsidRPr="00F93450">
        <w:t xml:space="preserve"> è definito in </w:t>
      </w:r>
      <w:r w:rsidR="0016150B">
        <w:t>24</w:t>
      </w:r>
      <w:r w:rsidRPr="00F93450">
        <w:t xml:space="preserve"> </w:t>
      </w:r>
      <w:r>
        <w:t>m</w:t>
      </w:r>
      <w:r w:rsidRPr="00F93450">
        <w:t>esi</w:t>
      </w:r>
      <w:r>
        <w:t xml:space="preserve">, quando confezionato in </w:t>
      </w:r>
      <w:r w:rsidR="0016150B">
        <w:t>buste di HDPE contenute in scatole di latta o di carta.</w:t>
      </w:r>
    </w:p>
    <w:p w14:paraId="665B297B" w14:textId="77777777" w:rsidR="00CC52A3" w:rsidRPr="00EF6711" w:rsidRDefault="00CC52A3" w:rsidP="00EF6711">
      <w:pPr>
        <w:spacing w:after="0" w:line="240" w:lineRule="auto"/>
        <w:jc w:val="both"/>
      </w:pPr>
    </w:p>
    <w:p w14:paraId="665B297C" w14:textId="77777777" w:rsidR="000B7AC8" w:rsidRPr="00EF6711" w:rsidRDefault="000B7AC8" w:rsidP="00EF6711">
      <w:pPr>
        <w:spacing w:after="0" w:line="240" w:lineRule="auto"/>
        <w:jc w:val="both"/>
      </w:pPr>
    </w:p>
    <w:p w14:paraId="665B297D" w14:textId="77777777" w:rsidR="004E5A39" w:rsidRPr="00EF6711" w:rsidRDefault="004E5A39" w:rsidP="00EF6711">
      <w:pPr>
        <w:spacing w:after="0" w:line="240" w:lineRule="auto"/>
        <w:jc w:val="both"/>
        <w:rPr>
          <w:b/>
        </w:rPr>
      </w:pPr>
      <w:r w:rsidRPr="00EF6711">
        <w:rPr>
          <w:b/>
        </w:rPr>
        <w:t>II.2 PRODOTTO FINITO</w:t>
      </w:r>
    </w:p>
    <w:p w14:paraId="665B297E" w14:textId="77777777" w:rsidR="004E5A39" w:rsidRPr="00EF6711" w:rsidRDefault="004E5A39" w:rsidP="00EF6711">
      <w:pPr>
        <w:spacing w:after="0" w:line="240" w:lineRule="auto"/>
        <w:jc w:val="both"/>
        <w:rPr>
          <w:b/>
        </w:rPr>
      </w:pPr>
      <w:r w:rsidRPr="00EF6711">
        <w:rPr>
          <w:b/>
        </w:rPr>
        <w:t>Descrizione e composizione</w:t>
      </w:r>
    </w:p>
    <w:p w14:paraId="665B297F" w14:textId="7B28792E" w:rsidR="004E5A39" w:rsidRPr="00EF6711" w:rsidRDefault="009D775A" w:rsidP="00EF6711">
      <w:pPr>
        <w:widowControl w:val="0"/>
        <w:spacing w:after="0" w:line="240" w:lineRule="auto"/>
        <w:jc w:val="both"/>
      </w:pPr>
      <w:r>
        <w:rPr>
          <w:rFonts w:eastAsia="Calibri" w:cs="Calibri"/>
          <w:color w:val="000000"/>
          <w:lang w:eastAsia="it-IT"/>
        </w:rPr>
        <w:t>VAPREDIS</w:t>
      </w:r>
      <w:r w:rsidR="000B7AC8">
        <w:rPr>
          <w:rFonts w:eastAsia="Calibri" w:cs="Calibri"/>
          <w:color w:val="000000"/>
          <w:lang w:eastAsia="it-IT"/>
        </w:rPr>
        <w:t xml:space="preserve"> è disponibile in </w:t>
      </w:r>
      <w:r w:rsidR="00A94371">
        <w:rPr>
          <w:rFonts w:eastAsia="Calibri" w:cs="Calibri"/>
          <w:color w:val="000000"/>
          <w:lang w:eastAsia="it-IT"/>
        </w:rPr>
        <w:t>compresse da 5 mg, 20 mg e 25 mg.</w:t>
      </w:r>
    </w:p>
    <w:p w14:paraId="665B2980" w14:textId="47F18DB7" w:rsidR="00B30431" w:rsidRPr="00EF6711" w:rsidRDefault="004E5A39" w:rsidP="00EF6711">
      <w:pPr>
        <w:spacing w:after="0" w:line="240" w:lineRule="auto"/>
        <w:jc w:val="both"/>
        <w:rPr>
          <w:b/>
          <w:bCs/>
        </w:rPr>
      </w:pPr>
      <w:r w:rsidRPr="00EF6711">
        <w:t xml:space="preserve">Gli eccipienti sono </w:t>
      </w:r>
      <w:r w:rsidR="00A94371" w:rsidRPr="00A94371">
        <w:t xml:space="preserve">lattosio monoidrato, sodio amido glicolato (tipo </w:t>
      </w:r>
      <w:r w:rsidR="007C6C3B">
        <w:t>A</w:t>
      </w:r>
      <w:r w:rsidR="00A94371" w:rsidRPr="00A94371">
        <w:t>), talco, silice colloidale idrata, magnesio stearato</w:t>
      </w:r>
      <w:r w:rsidR="00A94371">
        <w:t>.</w:t>
      </w:r>
    </w:p>
    <w:p w14:paraId="665B2981" w14:textId="77777777" w:rsidR="004E5A39" w:rsidRDefault="004E5A39" w:rsidP="00EF6711">
      <w:pPr>
        <w:spacing w:after="0" w:line="240" w:lineRule="auto"/>
        <w:ind w:right="13"/>
        <w:jc w:val="both"/>
      </w:pPr>
      <w:r w:rsidRPr="00EF6711">
        <w:t>Tutti gli eccipienti sono conformi alla relativa monografia di Farmacopea Europea.</w:t>
      </w:r>
    </w:p>
    <w:p w14:paraId="665B2982" w14:textId="77777777" w:rsidR="000808A3" w:rsidRDefault="000808A3" w:rsidP="00EF6711">
      <w:pPr>
        <w:spacing w:after="0" w:line="240" w:lineRule="auto"/>
        <w:ind w:right="13"/>
        <w:jc w:val="both"/>
      </w:pPr>
    </w:p>
    <w:p w14:paraId="665B2983" w14:textId="77777777" w:rsidR="000808A3" w:rsidRPr="00FE7080" w:rsidRDefault="000808A3" w:rsidP="000808A3">
      <w:pPr>
        <w:spacing w:after="0" w:line="240" w:lineRule="auto"/>
        <w:jc w:val="both"/>
      </w:pPr>
      <w:r w:rsidRPr="00FE7080">
        <w:t>Il solo eccipiente di originale animale è il lattosio; è stata fornita una dichiarazione che nella sua produzione sono utilizzati animali sani della stessa qualità utilizzata per il consumo umano.</w:t>
      </w:r>
    </w:p>
    <w:p w14:paraId="665B2984" w14:textId="77777777" w:rsidR="000808A3" w:rsidRPr="00EF6711" w:rsidRDefault="000808A3" w:rsidP="00EF6711">
      <w:pPr>
        <w:spacing w:after="0" w:line="240" w:lineRule="auto"/>
        <w:ind w:right="13"/>
        <w:jc w:val="both"/>
      </w:pPr>
    </w:p>
    <w:p w14:paraId="665B2985" w14:textId="77777777" w:rsidR="004E5A39" w:rsidRPr="00EF6711" w:rsidRDefault="004E5A39" w:rsidP="00EF6711">
      <w:pPr>
        <w:spacing w:after="0" w:line="240" w:lineRule="auto"/>
        <w:jc w:val="both"/>
      </w:pPr>
      <w:r w:rsidRPr="00EF6711">
        <w:t>Nessun eccipiente è ottenuto da organismi geneticamente modificati; non sono presenti eccipienti mai utilizzati nell’uomo.</w:t>
      </w:r>
    </w:p>
    <w:p w14:paraId="665B2986" w14:textId="77777777" w:rsidR="004E5A39" w:rsidRPr="00EF6711" w:rsidRDefault="004E5A39" w:rsidP="00EF6711">
      <w:pPr>
        <w:spacing w:after="0" w:line="240" w:lineRule="auto"/>
        <w:jc w:val="both"/>
      </w:pPr>
    </w:p>
    <w:p w14:paraId="665B2987" w14:textId="77777777" w:rsidR="004E5A39" w:rsidRPr="00EF6711" w:rsidRDefault="004E5A39" w:rsidP="00EF6711">
      <w:pPr>
        <w:spacing w:after="0" w:line="240" w:lineRule="auto"/>
        <w:jc w:val="both"/>
        <w:rPr>
          <w:b/>
        </w:rPr>
      </w:pPr>
      <w:r w:rsidRPr="00EF6711">
        <w:rPr>
          <w:b/>
        </w:rPr>
        <w:t>Sviluppo farmaceutico</w:t>
      </w:r>
    </w:p>
    <w:p w14:paraId="665B2988" w14:textId="77777777" w:rsidR="004E5A39" w:rsidRPr="00EF6711" w:rsidRDefault="004E5A39" w:rsidP="00EF6711">
      <w:pPr>
        <w:spacing w:after="0" w:line="240" w:lineRule="auto"/>
        <w:jc w:val="both"/>
      </w:pPr>
      <w:r w:rsidRPr="00EF6711">
        <w:t>Sono stati forniti dettagli dello sviluppo farmaceutico e questi sono stati ritenuti soddisfacenti.</w:t>
      </w:r>
    </w:p>
    <w:p w14:paraId="665B2989" w14:textId="77777777" w:rsidR="004E5A39" w:rsidRPr="00EF6711" w:rsidRDefault="004E5A39" w:rsidP="00EF6711">
      <w:pPr>
        <w:spacing w:after="0" w:line="240" w:lineRule="auto"/>
        <w:jc w:val="both"/>
      </w:pPr>
      <w:r w:rsidRPr="00EF6711">
        <w:t xml:space="preserve">Sono stati forniti dati comparativi relativi al profilo di </w:t>
      </w:r>
      <w:proofErr w:type="spellStart"/>
      <w:r w:rsidRPr="00EF6711">
        <w:t>impurezze</w:t>
      </w:r>
      <w:proofErr w:type="spellEnd"/>
      <w:r w:rsidRPr="00EF6711">
        <w:t xml:space="preserve"> rispetto al medicinale di riferimento</w:t>
      </w:r>
      <w:r w:rsidR="00B30431" w:rsidRPr="00EF6711">
        <w:rPr>
          <w:rFonts w:eastAsia="Calibri" w:cs="Calibri"/>
          <w:lang w:eastAsia="it-IT"/>
        </w:rPr>
        <w:t xml:space="preserve"> </w:t>
      </w:r>
      <w:r w:rsidR="000F2A63">
        <w:rPr>
          <w:rFonts w:eastAsia="Calibri" w:cs="Calibri"/>
          <w:lang w:eastAsia="it-IT"/>
        </w:rPr>
        <w:t>DECORTIN</w:t>
      </w:r>
      <w:r w:rsidRPr="00EF6711">
        <w:t>. I dati sono soddisfacenti.</w:t>
      </w:r>
    </w:p>
    <w:p w14:paraId="665B298A" w14:textId="77777777" w:rsidR="004E5A39" w:rsidRPr="00EF6711" w:rsidRDefault="004E5A39" w:rsidP="00EF6711">
      <w:pPr>
        <w:spacing w:after="0" w:line="240" w:lineRule="auto"/>
        <w:jc w:val="both"/>
      </w:pPr>
    </w:p>
    <w:p w14:paraId="665B298B" w14:textId="77777777" w:rsidR="004E5A39" w:rsidRPr="00EF6711" w:rsidRDefault="004E5A39" w:rsidP="00EF6711">
      <w:pPr>
        <w:spacing w:after="0" w:line="240" w:lineRule="auto"/>
        <w:jc w:val="both"/>
        <w:rPr>
          <w:b/>
        </w:rPr>
      </w:pPr>
      <w:r w:rsidRPr="00EF6711">
        <w:rPr>
          <w:b/>
        </w:rPr>
        <w:t xml:space="preserve">Produzione </w:t>
      </w:r>
    </w:p>
    <w:p w14:paraId="665B298C" w14:textId="77777777" w:rsidR="004E5A39" w:rsidRPr="00EF6711" w:rsidRDefault="004E5A39" w:rsidP="00EF6711">
      <w:pPr>
        <w:spacing w:after="0" w:line="240" w:lineRule="auto"/>
        <w:jc w:val="both"/>
      </w:pPr>
      <w:r w:rsidRPr="00EF6711">
        <w:t>Sono stati forniti una descrizione del metodo di produzione e la relativa flow-chart.</w:t>
      </w:r>
    </w:p>
    <w:p w14:paraId="665B298D" w14:textId="77777777" w:rsidR="004E5A39" w:rsidRPr="00EF6711" w:rsidRDefault="004E5A39" w:rsidP="00EF6711">
      <w:pPr>
        <w:spacing w:after="0" w:line="240" w:lineRule="auto"/>
        <w:jc w:val="both"/>
      </w:pPr>
      <w:r w:rsidRPr="00EF6711">
        <w:t>I controlli effettuati nel corso della produzione sono appropriati per la natura del medicinale e del metodo di produzione. Sono stati forniti, inoltre, dati soddisfacenti relativi alla convalida del metodo di produzione.</w:t>
      </w:r>
    </w:p>
    <w:p w14:paraId="665B298E" w14:textId="77777777" w:rsidR="004E5A39" w:rsidRPr="00EF6711" w:rsidRDefault="004E5A39" w:rsidP="00EF6711">
      <w:pPr>
        <w:spacing w:after="0" w:line="240" w:lineRule="auto"/>
        <w:jc w:val="both"/>
      </w:pPr>
    </w:p>
    <w:p w14:paraId="665B298F" w14:textId="77777777" w:rsidR="004E5A39" w:rsidRPr="00EF6711" w:rsidRDefault="004E5A39" w:rsidP="00EF6711">
      <w:pPr>
        <w:spacing w:after="0" w:line="240" w:lineRule="auto"/>
        <w:jc w:val="both"/>
        <w:rPr>
          <w:b/>
        </w:rPr>
      </w:pPr>
      <w:r w:rsidRPr="00EF6711">
        <w:rPr>
          <w:b/>
        </w:rPr>
        <w:t>Specifiche del prodotto finito</w:t>
      </w:r>
    </w:p>
    <w:p w14:paraId="665B2990" w14:textId="77777777" w:rsidR="004E5A39" w:rsidRPr="00EF6711" w:rsidRDefault="004E5A39" w:rsidP="00EF6711">
      <w:pPr>
        <w:spacing w:after="0" w:line="240" w:lineRule="auto"/>
        <w:jc w:val="both"/>
      </w:pPr>
      <w:r w:rsidRPr="00EF6711">
        <w:t>Sono state fornite adeguate specifiche di controllo per il prodotto finito al rilascio e alla fine della validità. I metodi analitici sono stati descritti e adeguatamente convalidati. Sono stati forniti, inoltre, dati analitici per</w:t>
      </w:r>
      <w:r w:rsidR="000808A3">
        <w:t xml:space="preserve"> i diversi dosaggi del prodott</w:t>
      </w:r>
      <w:r w:rsidR="00BD5FAC">
        <w:t>o</w:t>
      </w:r>
      <w:r w:rsidR="000808A3">
        <w:t xml:space="preserve"> finito</w:t>
      </w:r>
      <w:r w:rsidRPr="00EF6711">
        <w:t>: questi dati dimostrano che i lotti prodotti sono in accordo alle specifiche proposte. Sono stati forniti, infine, certificati analitici per gli standard di riferimento utilizzati.</w:t>
      </w:r>
    </w:p>
    <w:p w14:paraId="665B2991" w14:textId="77777777" w:rsidR="004E5A39" w:rsidRPr="00EF6711" w:rsidRDefault="004E5A39" w:rsidP="00EF6711">
      <w:pPr>
        <w:spacing w:after="0" w:line="240" w:lineRule="auto"/>
        <w:jc w:val="both"/>
        <w:rPr>
          <w:b/>
        </w:rPr>
      </w:pPr>
    </w:p>
    <w:p w14:paraId="665B2992" w14:textId="77777777" w:rsidR="004E5A39" w:rsidRPr="00EF6711" w:rsidRDefault="004E5A39" w:rsidP="00EF6711">
      <w:pPr>
        <w:spacing w:after="0" w:line="240" w:lineRule="auto"/>
        <w:jc w:val="both"/>
        <w:rPr>
          <w:b/>
        </w:rPr>
      </w:pPr>
      <w:r w:rsidRPr="00EF6711">
        <w:rPr>
          <w:b/>
        </w:rPr>
        <w:t>Contenitore</w:t>
      </w:r>
    </w:p>
    <w:p w14:paraId="665B2993" w14:textId="410A2FFF" w:rsidR="00BA0ACD" w:rsidRPr="00EF6711" w:rsidRDefault="009D775A" w:rsidP="00EF6711">
      <w:pPr>
        <w:spacing w:after="0" w:line="240" w:lineRule="auto"/>
        <w:jc w:val="both"/>
      </w:pPr>
      <w:r>
        <w:rPr>
          <w:rFonts w:eastAsia="Calibri" w:cs="Calibri"/>
          <w:color w:val="000000"/>
          <w:lang w:eastAsia="it-IT"/>
        </w:rPr>
        <w:t>VAPREDIS</w:t>
      </w:r>
      <w:r w:rsidR="000808A3">
        <w:rPr>
          <w:rFonts w:eastAsia="Calibri" w:cs="Calibri"/>
          <w:color w:val="000000"/>
          <w:lang w:eastAsia="it-IT"/>
        </w:rPr>
        <w:t xml:space="preserve"> </w:t>
      </w:r>
      <w:r w:rsidR="004E5A39" w:rsidRPr="00EF6711">
        <w:t xml:space="preserve">è confezionato in </w:t>
      </w:r>
      <w:r w:rsidR="000808A3">
        <w:t xml:space="preserve">blister di </w:t>
      </w:r>
      <w:r w:rsidR="00BD5FAC" w:rsidRPr="00BD5FAC">
        <w:t>PVC/PVDC/Al</w:t>
      </w:r>
      <w:r w:rsidR="00BD5FAC">
        <w:t>.</w:t>
      </w:r>
    </w:p>
    <w:p w14:paraId="665B2994" w14:textId="77777777" w:rsidR="004E5A39" w:rsidRPr="00EF6711" w:rsidRDefault="004E5A39" w:rsidP="00EF6711">
      <w:pPr>
        <w:spacing w:after="0" w:line="240" w:lineRule="auto"/>
        <w:jc w:val="both"/>
      </w:pPr>
      <w:r w:rsidRPr="00EF6711">
        <w:t>Sono state fornite specifiche e certificati analitici per tutti i componenti del confezionamento primario, che è adeguato per il medicinale.</w:t>
      </w:r>
    </w:p>
    <w:p w14:paraId="665B2995" w14:textId="77777777" w:rsidR="00BA0ACD" w:rsidRPr="00EF6711" w:rsidRDefault="00BA0ACD" w:rsidP="00EF6711">
      <w:pPr>
        <w:spacing w:after="0" w:line="240" w:lineRule="auto"/>
        <w:jc w:val="both"/>
      </w:pPr>
    </w:p>
    <w:p w14:paraId="665B2996" w14:textId="77777777" w:rsidR="004E5A39" w:rsidRPr="00EF6711" w:rsidRDefault="004E5A39" w:rsidP="00EF6711">
      <w:pPr>
        <w:spacing w:after="0" w:line="240" w:lineRule="auto"/>
        <w:jc w:val="both"/>
        <w:rPr>
          <w:b/>
        </w:rPr>
      </w:pPr>
      <w:r w:rsidRPr="00EF6711">
        <w:rPr>
          <w:b/>
        </w:rPr>
        <w:t>Stabilità</w:t>
      </w:r>
    </w:p>
    <w:p w14:paraId="665B2997" w14:textId="68909554" w:rsidR="004E5A39" w:rsidRPr="00EF6711" w:rsidRDefault="004E5A39" w:rsidP="00EF6711">
      <w:pPr>
        <w:spacing w:after="0" w:line="240" w:lineRule="auto"/>
        <w:jc w:val="both"/>
      </w:pPr>
      <w:r w:rsidRPr="00EF6711">
        <w:t xml:space="preserve">Studi di stabilità sul prodotto finito sono stati condotti in accordo alle correnti linee guida e i risultati sono entro i limiti delle specifiche autorizzate. Sulla base di questi risultati, è stato autorizzato un periodo di validità di </w:t>
      </w:r>
      <w:r w:rsidR="0009638F">
        <w:t>3</w:t>
      </w:r>
      <w:r w:rsidR="00265B61">
        <w:t xml:space="preserve"> anni</w:t>
      </w:r>
      <w:r w:rsidRPr="00EF6711">
        <w:t xml:space="preserve"> senza </w:t>
      </w:r>
      <w:r w:rsidR="000808A3">
        <w:t xml:space="preserve">con conservazione a temperatura non superiore a </w:t>
      </w:r>
      <w:r w:rsidR="0009638F">
        <w:t>30 C.</w:t>
      </w:r>
    </w:p>
    <w:p w14:paraId="665B2998" w14:textId="77777777" w:rsidR="004E5A39" w:rsidRPr="00EF6711" w:rsidRDefault="004E5A39" w:rsidP="00EF6711">
      <w:pPr>
        <w:spacing w:after="0" w:line="240" w:lineRule="auto"/>
        <w:jc w:val="both"/>
      </w:pPr>
    </w:p>
    <w:p w14:paraId="665B2999" w14:textId="77777777" w:rsidR="004E5A39" w:rsidRPr="00EF6711" w:rsidRDefault="004E5A39" w:rsidP="00EF6711">
      <w:pPr>
        <w:spacing w:after="0" w:line="240" w:lineRule="auto"/>
        <w:jc w:val="both"/>
        <w:rPr>
          <w:b/>
        </w:rPr>
      </w:pPr>
      <w:r w:rsidRPr="00EF6711">
        <w:rPr>
          <w:b/>
        </w:rPr>
        <w:t>II.3 Discussione sugli aspetti di qualità</w:t>
      </w:r>
    </w:p>
    <w:p w14:paraId="665B299A" w14:textId="50CB1064" w:rsidR="004E5A39" w:rsidRPr="00EF6711" w:rsidRDefault="004E5A39" w:rsidP="00EF6711">
      <w:pPr>
        <w:spacing w:after="0" w:line="240" w:lineRule="auto"/>
        <w:jc w:val="both"/>
      </w:pPr>
      <w:r w:rsidRPr="00EF6711">
        <w:t xml:space="preserve">Tutte le criticità evidenziate nel corso della valutazione sono state risolte e la qualità di </w:t>
      </w:r>
      <w:r w:rsidR="009D775A">
        <w:rPr>
          <w:rFonts w:eastAsia="Calibri" w:cs="Calibri"/>
          <w:color w:val="000000"/>
          <w:lang w:eastAsia="it-IT"/>
        </w:rPr>
        <w:t>VAPREDIS</w:t>
      </w:r>
      <w:r w:rsidR="000808A3">
        <w:rPr>
          <w:rFonts w:eastAsia="Calibri" w:cs="Calibri"/>
          <w:color w:val="000000"/>
          <w:lang w:eastAsia="it-IT"/>
        </w:rPr>
        <w:t xml:space="preserve"> </w:t>
      </w:r>
      <w:r w:rsidRPr="00EF6711">
        <w:t xml:space="preserve">è considerata adeguata. </w:t>
      </w:r>
      <w:r w:rsidR="00610BAB">
        <w:t xml:space="preserve">Pertanto </w:t>
      </w:r>
      <w:r w:rsidRPr="00EF6711">
        <w:t>dal punto di vista chimico-farmaceutico</w:t>
      </w:r>
      <w:r w:rsidR="00610BAB">
        <w:t xml:space="preserve"> </w:t>
      </w:r>
      <w:r w:rsidR="009D775A">
        <w:rPr>
          <w:rFonts w:eastAsia="Calibri" w:cs="Calibri"/>
          <w:color w:val="000000"/>
          <w:lang w:eastAsia="it-IT"/>
        </w:rPr>
        <w:t>VAPREDIS</w:t>
      </w:r>
      <w:r w:rsidR="00323648">
        <w:rPr>
          <w:rFonts w:eastAsia="Calibri" w:cs="Calibri"/>
          <w:color w:val="000000"/>
          <w:lang w:eastAsia="it-IT"/>
        </w:rPr>
        <w:t xml:space="preserve"> </w:t>
      </w:r>
      <w:r w:rsidR="00610BAB">
        <w:t>è stato considerato accettabile per l’autorizzazione all’immissione in commercio</w:t>
      </w:r>
      <w:r w:rsidRPr="00EF6711">
        <w:t>.</w:t>
      </w:r>
    </w:p>
    <w:p w14:paraId="665B299B" w14:textId="77777777" w:rsidR="004E5A39" w:rsidRPr="00EF6711" w:rsidRDefault="004E5A39" w:rsidP="00EF6711">
      <w:pPr>
        <w:spacing w:after="0" w:line="240" w:lineRule="auto"/>
        <w:jc w:val="both"/>
      </w:pPr>
    </w:p>
    <w:p w14:paraId="665B299C" w14:textId="77777777" w:rsidR="004E5A39" w:rsidRPr="00EF6711" w:rsidRDefault="004E5A39" w:rsidP="00EF6711">
      <w:pPr>
        <w:spacing w:after="0" w:line="240" w:lineRule="auto"/>
        <w:jc w:val="both"/>
      </w:pPr>
    </w:p>
    <w:p w14:paraId="665B299D" w14:textId="77777777" w:rsidR="004E5A39" w:rsidRPr="00CA6F23" w:rsidRDefault="004E5A39" w:rsidP="00EF6711">
      <w:pPr>
        <w:pStyle w:val="Paragrafoelenco"/>
        <w:numPr>
          <w:ilvl w:val="0"/>
          <w:numId w:val="2"/>
        </w:numPr>
        <w:spacing w:after="0" w:line="240" w:lineRule="auto"/>
        <w:jc w:val="both"/>
        <w:rPr>
          <w:b/>
        </w:rPr>
      </w:pPr>
      <w:r w:rsidRPr="00CA6F23">
        <w:rPr>
          <w:b/>
        </w:rPr>
        <w:t>ASPETTI NON CLINICI</w:t>
      </w:r>
    </w:p>
    <w:p w14:paraId="665B299E" w14:textId="63838B24" w:rsidR="00F27C7F" w:rsidRPr="00CA6F23" w:rsidRDefault="004E5A39" w:rsidP="00EF6711">
      <w:pPr>
        <w:spacing w:after="0" w:line="240" w:lineRule="auto"/>
        <w:jc w:val="both"/>
      </w:pPr>
      <w:r w:rsidRPr="00CA6F23">
        <w:t xml:space="preserve">Non sono stati </w:t>
      </w:r>
      <w:r w:rsidR="00F27C7F" w:rsidRPr="00CA6F23">
        <w:t>presentati nuovi</w:t>
      </w:r>
      <w:r w:rsidRPr="00CA6F23">
        <w:t xml:space="preserve"> studi non clinici, in quanto </w:t>
      </w:r>
      <w:r w:rsidR="009D775A">
        <w:rPr>
          <w:rFonts w:eastAsia="Calibri" w:cs="Calibri"/>
          <w:lang w:eastAsia="it-IT"/>
        </w:rPr>
        <w:t>VAPREDIS</w:t>
      </w:r>
      <w:r w:rsidR="009F395B" w:rsidRPr="00CA6F23">
        <w:rPr>
          <w:rFonts w:eastAsia="Calibri" w:cs="Calibri"/>
          <w:lang w:eastAsia="it-IT"/>
        </w:rPr>
        <w:t xml:space="preserve"> </w:t>
      </w:r>
      <w:r w:rsidRPr="00CA6F23">
        <w:t>contiene principi attiv</w:t>
      </w:r>
      <w:r w:rsidR="00853EC6" w:rsidRPr="00CA6F23">
        <w:t>i</w:t>
      </w:r>
      <w:r w:rsidRPr="00CA6F23">
        <w:t xml:space="preserve"> not</w:t>
      </w:r>
      <w:r w:rsidR="00853EC6" w:rsidRPr="00CA6F23">
        <w:t>i</w:t>
      </w:r>
      <w:r w:rsidRPr="00CA6F23">
        <w:t xml:space="preserve"> </w:t>
      </w:r>
      <w:r w:rsidR="00BA0ACD" w:rsidRPr="00CA6F23">
        <w:t>present</w:t>
      </w:r>
      <w:r w:rsidR="00805E9C">
        <w:t>i</w:t>
      </w:r>
      <w:r w:rsidR="00BA0ACD" w:rsidRPr="00CA6F23">
        <w:t xml:space="preserve"> nel medicinale di riferimento</w:t>
      </w:r>
      <w:r w:rsidRPr="00CA6F23">
        <w:t xml:space="preserve">: questo approccio è accettabile poiché il medicinale di riferimento </w:t>
      </w:r>
      <w:r w:rsidR="00E04CC0" w:rsidRPr="00CA6F23">
        <w:t xml:space="preserve">DECORTIN </w:t>
      </w:r>
      <w:r w:rsidRPr="00CA6F23">
        <w:t xml:space="preserve">è autorizzato in </w:t>
      </w:r>
      <w:r w:rsidR="00E04CC0" w:rsidRPr="00CA6F23">
        <w:t>Europa</w:t>
      </w:r>
      <w:r w:rsidRPr="00CA6F23">
        <w:t xml:space="preserve"> da oltre 10 anni</w:t>
      </w:r>
      <w:r w:rsidR="000808A3" w:rsidRPr="00CA6F23">
        <w:t>.</w:t>
      </w:r>
      <w:r w:rsidR="009F395B" w:rsidRPr="00CA6F23">
        <w:t xml:space="preserve"> </w:t>
      </w:r>
    </w:p>
    <w:p w14:paraId="665B299F" w14:textId="77777777" w:rsidR="00F27C7F" w:rsidRPr="00CA6F23" w:rsidRDefault="00F27C7F" w:rsidP="00EF6711">
      <w:pPr>
        <w:spacing w:after="0" w:line="240" w:lineRule="auto"/>
        <w:jc w:val="both"/>
      </w:pPr>
    </w:p>
    <w:p w14:paraId="665B29A0" w14:textId="1CA37E42" w:rsidR="00610BAB" w:rsidRPr="00CA6F23" w:rsidRDefault="00610BAB" w:rsidP="00610BAB">
      <w:pPr>
        <w:spacing w:after="0" w:line="240" w:lineRule="auto"/>
        <w:jc w:val="both"/>
      </w:pPr>
      <w:r w:rsidRPr="00CA6F23">
        <w:t>Pertanto</w:t>
      </w:r>
      <w:r w:rsidRPr="00CA6F23">
        <w:rPr>
          <w:rFonts w:eastAsia="Calibri" w:cs="Calibri"/>
          <w:lang w:eastAsia="it-IT"/>
        </w:rPr>
        <w:t xml:space="preserve"> </w:t>
      </w:r>
      <w:r w:rsidRPr="00CA6F23">
        <w:t xml:space="preserve">dal punto di vista non clinico </w:t>
      </w:r>
      <w:r w:rsidR="009D775A">
        <w:rPr>
          <w:rFonts w:eastAsia="Calibri" w:cs="Calibri"/>
          <w:lang w:eastAsia="it-IT"/>
        </w:rPr>
        <w:t>VAPREDIS</w:t>
      </w:r>
      <w:r w:rsidR="00323648" w:rsidRPr="00CA6F23">
        <w:rPr>
          <w:rFonts w:eastAsia="Calibri" w:cs="Calibri"/>
          <w:lang w:eastAsia="it-IT"/>
        </w:rPr>
        <w:t xml:space="preserve"> </w:t>
      </w:r>
      <w:r w:rsidRPr="00CA6F23">
        <w:t>è stato considerato accettabile per l’autorizzazione all’immissione in commercio.</w:t>
      </w:r>
    </w:p>
    <w:p w14:paraId="665B29A1" w14:textId="77777777" w:rsidR="004E5A39" w:rsidRPr="00CA6F23" w:rsidRDefault="004E5A39" w:rsidP="00EF6711">
      <w:pPr>
        <w:spacing w:after="0" w:line="240" w:lineRule="auto"/>
        <w:jc w:val="both"/>
      </w:pPr>
    </w:p>
    <w:p w14:paraId="665B29A2" w14:textId="024E7838" w:rsidR="00E80293" w:rsidRPr="00CA6F23" w:rsidRDefault="00E80293" w:rsidP="00E80293">
      <w:pPr>
        <w:spacing w:after="0" w:line="240" w:lineRule="auto"/>
        <w:jc w:val="both"/>
      </w:pPr>
      <w:r w:rsidRPr="00CA6F23">
        <w:t xml:space="preserve">Il titolare di AIC ha presentato una adeguata giustificazione della non presentazione della Valutazione del Rischio ambientale; questo approccio è accettabile in quanto </w:t>
      </w:r>
      <w:r w:rsidR="009D775A">
        <w:t>VAPREDIS</w:t>
      </w:r>
      <w:r w:rsidRPr="00CA6F23">
        <w:rPr>
          <w:rFonts w:eastAsia="Calibri" w:cs="Calibri"/>
          <w:lang w:eastAsia="it-IT"/>
        </w:rPr>
        <w:t xml:space="preserve"> </w:t>
      </w:r>
      <w:r w:rsidRPr="00CA6F23">
        <w:t>contiene un principio attivo noto presente in medicinali autorizzati; inoltre, non sono presenti componenti geneticamente modificati.</w:t>
      </w:r>
    </w:p>
    <w:p w14:paraId="665B29A3" w14:textId="77777777" w:rsidR="00E80293" w:rsidRPr="00CA6F23" w:rsidRDefault="00E80293" w:rsidP="00EF6711">
      <w:pPr>
        <w:spacing w:after="0" w:line="240" w:lineRule="auto"/>
        <w:jc w:val="both"/>
      </w:pPr>
    </w:p>
    <w:p w14:paraId="665B29A4" w14:textId="77777777" w:rsidR="009F584E" w:rsidRPr="00EF6711" w:rsidRDefault="009F584E" w:rsidP="00EF6711">
      <w:pPr>
        <w:spacing w:after="0" w:line="240" w:lineRule="auto"/>
        <w:jc w:val="both"/>
      </w:pPr>
    </w:p>
    <w:p w14:paraId="665B29A5" w14:textId="77777777" w:rsidR="004E5A39" w:rsidRPr="00AA5B29" w:rsidRDefault="004E5A39" w:rsidP="00EF6711">
      <w:pPr>
        <w:pStyle w:val="Paragrafoelenco"/>
        <w:numPr>
          <w:ilvl w:val="0"/>
          <w:numId w:val="2"/>
        </w:numPr>
        <w:spacing w:after="0" w:line="240" w:lineRule="auto"/>
        <w:jc w:val="both"/>
        <w:rPr>
          <w:b/>
        </w:rPr>
      </w:pPr>
      <w:r w:rsidRPr="00AA5B29">
        <w:rPr>
          <w:b/>
        </w:rPr>
        <w:t>ASPETTI CLINICI</w:t>
      </w:r>
    </w:p>
    <w:p w14:paraId="665B29A6" w14:textId="77777777" w:rsidR="00AA5B29" w:rsidRPr="00607A60" w:rsidRDefault="00AA5B29" w:rsidP="00AA5B29">
      <w:pPr>
        <w:pStyle w:val="Corpotesto"/>
        <w:rPr>
          <w:rFonts w:asciiTheme="minorHAnsi" w:eastAsiaTheme="minorHAnsi" w:hAnsiTheme="minorHAnsi" w:cs="Arial"/>
        </w:rPr>
      </w:pPr>
    </w:p>
    <w:p w14:paraId="01C6BC0F" w14:textId="57155840" w:rsidR="00662A6F" w:rsidRDefault="009D775A" w:rsidP="00662A6F">
      <w:pPr>
        <w:tabs>
          <w:tab w:val="left" w:pos="0"/>
        </w:tabs>
        <w:overflowPunct w:val="0"/>
        <w:autoSpaceDE w:val="0"/>
        <w:autoSpaceDN w:val="0"/>
        <w:adjustRightInd w:val="0"/>
        <w:spacing w:after="0" w:line="240" w:lineRule="auto"/>
        <w:jc w:val="both"/>
        <w:textAlignment w:val="baseline"/>
      </w:pPr>
      <w:r>
        <w:rPr>
          <w:rFonts w:cs="Arial"/>
        </w:rPr>
        <w:t>VAPREDIS</w:t>
      </w:r>
      <w:r w:rsidR="00AA5B29" w:rsidRPr="00607A60">
        <w:rPr>
          <w:rFonts w:cs="Arial"/>
        </w:rPr>
        <w:t xml:space="preserve"> è usato negli adulti, nei bambini di tutte le età e negli adolescenti</w:t>
      </w:r>
      <w:r w:rsidR="00662A6F">
        <w:rPr>
          <w:rFonts w:cs="Arial"/>
        </w:rPr>
        <w:t xml:space="preserve"> </w:t>
      </w:r>
      <w:r w:rsidR="00662A6F">
        <w:t xml:space="preserve">ed </w:t>
      </w:r>
      <w:r w:rsidR="00662A6F" w:rsidRPr="009326D7">
        <w:t xml:space="preserve">è indicato per il trattamento di patologie che richiedono una terapia sistemica con </w:t>
      </w:r>
      <w:proofErr w:type="spellStart"/>
      <w:r w:rsidR="00662A6F" w:rsidRPr="009326D7">
        <w:t>glucocorticoidi</w:t>
      </w:r>
      <w:proofErr w:type="spellEnd"/>
      <w:r w:rsidR="00662A6F" w:rsidRPr="009326D7">
        <w:t>, tra cui le seguenti in base al tipo e alla gravità:</w:t>
      </w:r>
    </w:p>
    <w:p w14:paraId="665B29A9" w14:textId="77777777" w:rsidR="00AA5B29" w:rsidRDefault="00AA5B29" w:rsidP="00AA5B29">
      <w:pPr>
        <w:pStyle w:val="Corpotesto"/>
        <w:jc w:val="both"/>
        <w:rPr>
          <w:rFonts w:asciiTheme="minorHAnsi" w:eastAsiaTheme="minorHAnsi" w:hAnsiTheme="minorHAnsi" w:cs="Arial"/>
        </w:rPr>
      </w:pPr>
    </w:p>
    <w:p w14:paraId="665B29AA" w14:textId="77777777" w:rsidR="00AA5B29" w:rsidRPr="00944138" w:rsidRDefault="00AA5B29" w:rsidP="00AA5B2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Terapia sostitutiva:</w:t>
      </w:r>
    </w:p>
    <w:p w14:paraId="665B29AB"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Insufficienza </w:t>
      </w:r>
      <w:proofErr w:type="spellStart"/>
      <w:r w:rsidRPr="00C53271">
        <w:rPr>
          <w:rFonts w:eastAsia="Times New Roman" w:cs="Arial"/>
          <w:bCs/>
          <w:color w:val="000000"/>
          <w:lang w:eastAsia="it-IT"/>
        </w:rPr>
        <w:t>corticosurrenalica</w:t>
      </w:r>
      <w:proofErr w:type="spellEnd"/>
      <w:r w:rsidRPr="00C53271">
        <w:rPr>
          <w:rFonts w:eastAsia="Times New Roman" w:cs="Arial"/>
          <w:bCs/>
          <w:color w:val="000000"/>
          <w:lang w:eastAsia="it-IT"/>
        </w:rPr>
        <w:t xml:space="preserve"> di qualsiasi genesi (ad es. morbo di Addison, sindrome adrenogenitale, </w:t>
      </w:r>
      <w:proofErr w:type="spellStart"/>
      <w:r w:rsidRPr="00C53271">
        <w:rPr>
          <w:rFonts w:eastAsia="Times New Roman" w:cs="Arial"/>
          <w:bCs/>
          <w:color w:val="000000"/>
          <w:lang w:eastAsia="it-IT"/>
        </w:rPr>
        <w:t>surrenectomia</w:t>
      </w:r>
      <w:proofErr w:type="spellEnd"/>
      <w:r w:rsidRPr="00C53271">
        <w:rPr>
          <w:rFonts w:eastAsia="Times New Roman" w:cs="Arial"/>
          <w:bCs/>
          <w:color w:val="000000"/>
          <w:lang w:eastAsia="it-IT"/>
        </w:rPr>
        <w:t>, deficit di ACTH) oltre l'età di crescita (gli agenti di prima linea sono l'idrocortisone e il cortisone)</w:t>
      </w:r>
    </w:p>
    <w:p w14:paraId="665B29AC" w14:textId="77777777" w:rsidR="00AA5B29"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Stati di stress dopo la terapia corticoide a lungo termine</w:t>
      </w:r>
    </w:p>
    <w:p w14:paraId="1CD481A0" w14:textId="77777777" w:rsidR="00662A6F" w:rsidRPr="00C53271" w:rsidRDefault="00662A6F" w:rsidP="00944138">
      <w:pPr>
        <w:pStyle w:val="Paragrafoelenco"/>
        <w:widowControl w:val="0"/>
        <w:tabs>
          <w:tab w:val="left" w:pos="726"/>
          <w:tab w:val="left" w:pos="727"/>
        </w:tabs>
        <w:autoSpaceDE w:val="0"/>
        <w:autoSpaceDN w:val="0"/>
        <w:spacing w:after="0" w:line="240" w:lineRule="auto"/>
        <w:ind w:left="726"/>
        <w:contextualSpacing w:val="0"/>
        <w:jc w:val="both"/>
        <w:rPr>
          <w:rFonts w:eastAsia="Times New Roman" w:cs="Arial"/>
          <w:bCs/>
          <w:color w:val="000000"/>
          <w:lang w:eastAsia="it-IT"/>
        </w:rPr>
      </w:pPr>
    </w:p>
    <w:p w14:paraId="665B29AD" w14:textId="77777777" w:rsidR="00AA5B29" w:rsidRPr="00944138" w:rsidRDefault="00AA5B29" w:rsidP="00AA5B2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Reumatologia:</w:t>
      </w:r>
    </w:p>
    <w:p w14:paraId="665B29AE"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Fasi attive della </w:t>
      </w:r>
      <w:proofErr w:type="spellStart"/>
      <w:r w:rsidRPr="00C53271">
        <w:rPr>
          <w:rFonts w:eastAsia="Times New Roman" w:cs="Arial"/>
          <w:bCs/>
          <w:color w:val="000000"/>
          <w:lang w:eastAsia="it-IT"/>
        </w:rPr>
        <w:t>vasculite</w:t>
      </w:r>
      <w:proofErr w:type="spellEnd"/>
      <w:r w:rsidRPr="00C53271">
        <w:rPr>
          <w:rFonts w:eastAsia="Times New Roman" w:cs="Arial"/>
          <w:bCs/>
          <w:color w:val="000000"/>
          <w:lang w:eastAsia="it-IT"/>
        </w:rPr>
        <w:t xml:space="preserve"> sistemica:</w:t>
      </w:r>
    </w:p>
    <w:p w14:paraId="665B29AF" w14:textId="59742C1C"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Panarterite</w:t>
      </w:r>
      <w:proofErr w:type="spellEnd"/>
      <w:r w:rsidRPr="00C53271">
        <w:rPr>
          <w:rFonts w:eastAsia="Times New Roman" w:cs="Arial"/>
          <w:bCs/>
          <w:color w:val="000000"/>
          <w:lang w:eastAsia="it-IT"/>
        </w:rPr>
        <w:t xml:space="preserve"> nodosa (durata del trattamento limitata a due settimane in caso di sierologia positiva per l'epatite B)</w:t>
      </w:r>
    </w:p>
    <w:p w14:paraId="665B29B0" w14:textId="5892D5F6"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Arterite a cellule giganti, </w:t>
      </w:r>
      <w:proofErr w:type="spellStart"/>
      <w:r w:rsidRPr="00C53271">
        <w:rPr>
          <w:rFonts w:eastAsia="Times New Roman" w:cs="Arial"/>
          <w:bCs/>
          <w:color w:val="000000"/>
          <w:lang w:eastAsia="it-IT"/>
        </w:rPr>
        <w:t>Polimialgia</w:t>
      </w:r>
      <w:proofErr w:type="spellEnd"/>
      <w:r w:rsidRPr="00C53271">
        <w:rPr>
          <w:rFonts w:eastAsia="Times New Roman" w:cs="Arial"/>
          <w:bCs/>
          <w:color w:val="000000"/>
          <w:lang w:eastAsia="it-IT"/>
        </w:rPr>
        <w:t xml:space="preserve"> reumatica </w:t>
      </w:r>
    </w:p>
    <w:p w14:paraId="665B29B1" w14:textId="58CD1C2A"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Arterite temporale (in caso di perdita acuta della visione inizialmente terapia d'urto endovenosa ad alte dosi con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intermittente (</w:t>
      </w:r>
      <w:proofErr w:type="spellStart"/>
      <w:r w:rsidRPr="00C53271">
        <w:rPr>
          <w:rFonts w:eastAsia="Times New Roman" w:cs="Arial"/>
          <w:bCs/>
          <w:color w:val="000000"/>
          <w:lang w:eastAsia="it-IT"/>
        </w:rPr>
        <w:t>pulse</w:t>
      </w:r>
      <w:proofErr w:type="spellEnd"/>
      <w:r w:rsidRPr="00C53271">
        <w:rPr>
          <w:rFonts w:eastAsia="Times New Roman" w:cs="Arial"/>
          <w:bCs/>
          <w:color w:val="000000"/>
          <w:lang w:eastAsia="it-IT"/>
        </w:rPr>
        <w:t xml:space="preserve"> </w:t>
      </w:r>
      <w:proofErr w:type="spellStart"/>
      <w:r w:rsidRPr="00C53271">
        <w:rPr>
          <w:rFonts w:eastAsia="Times New Roman" w:cs="Arial"/>
          <w:bCs/>
          <w:color w:val="000000"/>
          <w:lang w:eastAsia="it-IT"/>
        </w:rPr>
        <w:t>therapy</w:t>
      </w:r>
      <w:proofErr w:type="spellEnd"/>
      <w:r w:rsidRPr="00C53271">
        <w:rPr>
          <w:rFonts w:eastAsia="Times New Roman" w:cs="Arial"/>
          <w:bCs/>
          <w:color w:val="000000"/>
          <w:lang w:eastAsia="it-IT"/>
        </w:rPr>
        <w:t>) e terapia di mantenimento a lungo termine sotto il controllo della VES)</w:t>
      </w:r>
    </w:p>
    <w:p w14:paraId="665B29B2" w14:textId="4FBE69F9"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Granulomatosi di </w:t>
      </w:r>
      <w:proofErr w:type="spellStart"/>
      <w:r w:rsidRPr="00C53271">
        <w:rPr>
          <w:rFonts w:eastAsia="Times New Roman" w:cs="Arial"/>
          <w:bCs/>
          <w:color w:val="000000"/>
          <w:lang w:eastAsia="it-IT"/>
        </w:rPr>
        <w:t>Wegener</w:t>
      </w:r>
      <w:proofErr w:type="spellEnd"/>
      <w:r w:rsidRPr="00C53271">
        <w:rPr>
          <w:rFonts w:eastAsia="Times New Roman" w:cs="Arial"/>
          <w:bCs/>
          <w:color w:val="000000"/>
          <w:lang w:eastAsia="it-IT"/>
        </w:rPr>
        <w:t xml:space="preserve">: terapia di induzione in combinazione con </w:t>
      </w:r>
      <w:proofErr w:type="spellStart"/>
      <w:r w:rsidRPr="00C53271">
        <w:rPr>
          <w:rFonts w:eastAsia="Times New Roman" w:cs="Arial"/>
          <w:bCs/>
          <w:color w:val="000000"/>
          <w:lang w:eastAsia="it-IT"/>
        </w:rPr>
        <w:t>metotrexato</w:t>
      </w:r>
      <w:proofErr w:type="spellEnd"/>
      <w:r w:rsidRPr="00C53271">
        <w:rPr>
          <w:rFonts w:eastAsia="Times New Roman" w:cs="Arial"/>
          <w:bCs/>
          <w:color w:val="000000"/>
          <w:lang w:eastAsia="it-IT"/>
        </w:rPr>
        <w:t xml:space="preserve"> (forme lievi senza coinvolgimento renale) o secondo lo schema Fauci (forme gravi con coinvolgimento renale e/o polmonare), mantenimento della remissione: (diminuendo la dose gradualmente fino alla sospensione) in combinazione con immunosoppressori</w:t>
      </w:r>
    </w:p>
    <w:p w14:paraId="665B29B3" w14:textId="7B038F06"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Sindrome di </w:t>
      </w:r>
      <w:proofErr w:type="spellStart"/>
      <w:r w:rsidRPr="00C53271">
        <w:rPr>
          <w:rFonts w:eastAsia="Times New Roman" w:cs="Arial"/>
          <w:bCs/>
          <w:color w:val="000000"/>
          <w:lang w:eastAsia="it-IT"/>
        </w:rPr>
        <w:t>Churg</w:t>
      </w:r>
      <w:proofErr w:type="spellEnd"/>
      <w:r w:rsidRPr="00C53271">
        <w:rPr>
          <w:rFonts w:eastAsia="Times New Roman" w:cs="Arial"/>
          <w:bCs/>
          <w:color w:val="000000"/>
          <w:lang w:eastAsia="it-IT"/>
        </w:rPr>
        <w:t xml:space="preserve">-Strauss: terapia iniziale in caso di compromissione degli organi e progressione grave in combinazione con immunosoppressori, mantenimento della remissione </w:t>
      </w:r>
    </w:p>
    <w:p w14:paraId="665B29B4" w14:textId="5292CA19"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Fasi attive delle malattie reumatiche sistemiche:</w:t>
      </w:r>
    </w:p>
    <w:p w14:paraId="665B29B5" w14:textId="77777777"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Lupus Eritematoso Sistemico</w:t>
      </w:r>
    </w:p>
    <w:p w14:paraId="665B29B6" w14:textId="77777777"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Polimiosite</w:t>
      </w:r>
      <w:proofErr w:type="spellEnd"/>
      <w:r w:rsidRPr="00C53271">
        <w:rPr>
          <w:rFonts w:eastAsia="Times New Roman" w:cs="Arial"/>
          <w:bCs/>
          <w:color w:val="000000"/>
          <w:lang w:eastAsia="it-IT"/>
        </w:rPr>
        <w:t>/</w:t>
      </w:r>
      <w:proofErr w:type="spellStart"/>
      <w:r w:rsidRPr="00C53271">
        <w:rPr>
          <w:rFonts w:eastAsia="Times New Roman" w:cs="Arial"/>
          <w:bCs/>
          <w:color w:val="000000"/>
          <w:lang w:eastAsia="it-IT"/>
        </w:rPr>
        <w:t>Policondrite</w:t>
      </w:r>
      <w:proofErr w:type="spellEnd"/>
      <w:r w:rsidRPr="00C53271">
        <w:rPr>
          <w:rFonts w:eastAsia="Times New Roman" w:cs="Arial"/>
          <w:bCs/>
          <w:color w:val="000000"/>
          <w:lang w:eastAsia="it-IT"/>
        </w:rPr>
        <w:t xml:space="preserve"> cronica atrofizzante</w:t>
      </w:r>
    </w:p>
    <w:p w14:paraId="665B29B7" w14:textId="77777777"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Connettiviti miste</w:t>
      </w:r>
    </w:p>
    <w:p w14:paraId="665B29B8" w14:textId="3E1C8B0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reumatoide attiva con forme progressive gravi, ad esempio forme distruttive e/o manifestazioni extra-articolari </w:t>
      </w:r>
    </w:p>
    <w:p w14:paraId="665B29B9"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Altre artriti reumatiche infiammatorie, se la gravità del quadro clinico lo richiede e non possono essere utilizzati farmaci antinfiammatori non steroidei (FANS):</w:t>
      </w:r>
    </w:p>
    <w:p w14:paraId="665B29BA" w14:textId="5ED35C68"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Spondiloartriti (spondilite anchilosante che coinvolge le articolazioni periferiche, artrite psoriasica, artropatia enteropatica ad alta attività infiammatoria </w:t>
      </w:r>
    </w:p>
    <w:p w14:paraId="665B29BB" w14:textId="6D8CE19D"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Artriti reattive </w:t>
      </w:r>
    </w:p>
    <w:p w14:paraId="665B29BC" w14:textId="50B82A16" w:rsidR="00AA5B29" w:rsidRPr="00C53271" w:rsidRDefault="00AA5B29" w:rsidP="00AA5B29">
      <w:pPr>
        <w:pStyle w:val="Paragrafoelenco"/>
        <w:widowControl w:val="0"/>
        <w:numPr>
          <w:ilvl w:val="1"/>
          <w:numId w:val="7"/>
        </w:numPr>
        <w:tabs>
          <w:tab w:val="left" w:pos="1293"/>
          <w:tab w:val="left" w:pos="1294"/>
        </w:tabs>
        <w:autoSpaceDE w:val="0"/>
        <w:autoSpaceDN w:val="0"/>
        <w:spacing w:after="0" w:line="240" w:lineRule="auto"/>
        <w:ind w:hanging="568"/>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nella sarcoidosi </w:t>
      </w:r>
    </w:p>
    <w:p w14:paraId="665B29BD" w14:textId="720A8BCC"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lastRenderedPageBreak/>
        <w:t xml:space="preserve">Cardite nella febbre reumatica, nei casi gravi nell'arco di 2-3 mesi </w:t>
      </w:r>
    </w:p>
    <w:p w14:paraId="665B29BE" w14:textId="19A1F704"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Artrite idiopatica giovanile con forma sistemica grave (sindrome di </w:t>
      </w:r>
      <w:proofErr w:type="spellStart"/>
      <w:r w:rsidRPr="00C53271">
        <w:rPr>
          <w:rFonts w:eastAsia="Times New Roman" w:cs="Arial"/>
          <w:bCs/>
          <w:color w:val="000000"/>
          <w:lang w:eastAsia="it-IT"/>
        </w:rPr>
        <w:t>Still</w:t>
      </w:r>
      <w:proofErr w:type="spellEnd"/>
      <w:r w:rsidRPr="00C53271">
        <w:rPr>
          <w:rFonts w:eastAsia="Times New Roman" w:cs="Arial"/>
          <w:bCs/>
          <w:color w:val="000000"/>
          <w:lang w:eastAsia="it-IT"/>
        </w:rPr>
        <w:t xml:space="preserve">) o con iridociclite quando il trattamento locale è inefficace </w:t>
      </w:r>
    </w:p>
    <w:p w14:paraId="665B29BF" w14:textId="77777777" w:rsidR="00AA5B29" w:rsidRPr="00C53271" w:rsidRDefault="00AA5B29" w:rsidP="00AA5B29">
      <w:pPr>
        <w:pStyle w:val="Titolo2"/>
        <w:ind w:left="0"/>
        <w:jc w:val="both"/>
        <w:rPr>
          <w:rFonts w:asciiTheme="minorHAnsi" w:hAnsiTheme="minorHAnsi" w:cs="Arial"/>
          <w:b w:val="0"/>
          <w:color w:val="000000"/>
          <w:lang w:eastAsia="it-IT"/>
        </w:rPr>
      </w:pPr>
    </w:p>
    <w:p w14:paraId="665B29C0" w14:textId="77777777" w:rsidR="00AA5B29" w:rsidRPr="00C53271" w:rsidRDefault="00AA5B29" w:rsidP="00AA5B29">
      <w:pPr>
        <w:pStyle w:val="Titolo2"/>
        <w:ind w:left="0"/>
        <w:jc w:val="both"/>
        <w:rPr>
          <w:rFonts w:asciiTheme="minorHAnsi" w:hAnsiTheme="minorHAnsi" w:cs="Arial"/>
          <w:b w:val="0"/>
          <w:color w:val="000000"/>
          <w:lang w:eastAsia="it-IT"/>
        </w:rPr>
      </w:pPr>
      <w:r w:rsidRPr="00944138">
        <w:rPr>
          <w:rFonts w:asciiTheme="minorHAnsi" w:hAnsiTheme="minorHAnsi" w:cs="Arial"/>
          <w:bCs w:val="0"/>
          <w:color w:val="000000"/>
          <w:lang w:eastAsia="it-IT"/>
        </w:rPr>
        <w:t>Pneumologia</w:t>
      </w:r>
      <w:r w:rsidRPr="00C53271">
        <w:rPr>
          <w:rFonts w:asciiTheme="minorHAnsi" w:hAnsiTheme="minorHAnsi" w:cs="Arial"/>
          <w:b w:val="0"/>
          <w:color w:val="000000"/>
          <w:lang w:eastAsia="it-IT"/>
        </w:rPr>
        <w:t>:</w:t>
      </w:r>
    </w:p>
    <w:p w14:paraId="665B29C1" w14:textId="758E092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Asma bronchiale, allo stesso tempo si raccomanda la somministrazione di broncodilatatori</w:t>
      </w:r>
    </w:p>
    <w:p w14:paraId="665B29C2" w14:textId="6501051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Esacerbazione acuta della </w:t>
      </w:r>
      <w:proofErr w:type="spellStart"/>
      <w:r w:rsidRPr="00C53271">
        <w:rPr>
          <w:rFonts w:eastAsia="Times New Roman" w:cs="Arial"/>
          <w:bCs/>
          <w:color w:val="000000"/>
          <w:lang w:eastAsia="it-IT"/>
        </w:rPr>
        <w:t>broncopneumopatia</w:t>
      </w:r>
      <w:proofErr w:type="spellEnd"/>
      <w:r w:rsidRPr="00C53271">
        <w:rPr>
          <w:rFonts w:eastAsia="Times New Roman" w:cs="Arial"/>
          <w:bCs/>
          <w:color w:val="000000"/>
          <w:lang w:eastAsia="it-IT"/>
        </w:rPr>
        <w:t xml:space="preserve"> cronica ostruttiva BPCO, durata raccomandata della terapia fino a 10 giorni</w:t>
      </w:r>
    </w:p>
    <w:p w14:paraId="14763E8D" w14:textId="1EAFA4CF" w:rsidR="00CA2A03"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Malattie polmonari interstiziali come l'alveolite acuta , la fibrosi polmonare</w:t>
      </w:r>
      <w:r w:rsidR="00283249">
        <w:rPr>
          <w:rFonts w:eastAsia="Times New Roman" w:cs="Arial"/>
          <w:bCs/>
          <w:color w:val="000000"/>
          <w:lang w:eastAsia="it-IT"/>
        </w:rPr>
        <w:t>,</w:t>
      </w:r>
      <w:r w:rsidRPr="00C53271">
        <w:rPr>
          <w:rFonts w:eastAsia="Times New Roman" w:cs="Arial"/>
          <w:bCs/>
          <w:color w:val="000000"/>
          <w:lang w:eastAsia="it-IT"/>
        </w:rPr>
        <w:t xml:space="preserve"> la bronchiolite obliterante che polmonite organizzata  (BOOP) (diminuendo la dose gradualmente fino alla sospensione), eventualmente in combinazione con immunosoppressori, la polmonite eosinofila cronica (diminuendo la dose gradualmente fino alla sospensione), per il trattamento a lungo termine di forme croniche di sarcoidosi negli stadi II e III (in caso di mancanza di respiro, tosse e deterioramento dei valori di funzionalità polmonare) </w:t>
      </w:r>
    </w:p>
    <w:p w14:paraId="4A37B5B3" w14:textId="1C33E265" w:rsidR="00CA2A03" w:rsidRPr="00C53271" w:rsidRDefault="00AA5B29" w:rsidP="00CA2A03">
      <w:pPr>
        <w:pStyle w:val="Paragrafoelenco"/>
        <w:widowControl w:val="0"/>
        <w:numPr>
          <w:ilvl w:val="0"/>
          <w:numId w:val="7"/>
        </w:numPr>
        <w:tabs>
          <w:tab w:val="left" w:pos="726"/>
          <w:tab w:val="left" w:pos="727"/>
        </w:tabs>
        <w:autoSpaceDE w:val="0"/>
        <w:autoSpaceDN w:val="0"/>
        <w:spacing w:after="0" w:line="240" w:lineRule="auto"/>
        <w:contextualSpacing w:val="0"/>
        <w:jc w:val="both"/>
        <w:rPr>
          <w:lang w:eastAsia="it-IT"/>
        </w:rPr>
      </w:pPr>
      <w:r w:rsidRPr="00944138">
        <w:rPr>
          <w:rFonts w:eastAsia="Times New Roman" w:cs="Arial"/>
          <w:bCs/>
          <w:color w:val="000000"/>
          <w:lang w:eastAsia="it-IT"/>
        </w:rPr>
        <w:t xml:space="preserve">Profilassi della sindrome da </w:t>
      </w:r>
      <w:proofErr w:type="spellStart"/>
      <w:r w:rsidRPr="00944138">
        <w:rPr>
          <w:rFonts w:eastAsia="Times New Roman" w:cs="Arial"/>
          <w:bCs/>
          <w:color w:val="000000"/>
          <w:lang w:eastAsia="it-IT"/>
        </w:rPr>
        <w:t>distress</w:t>
      </w:r>
      <w:proofErr w:type="spellEnd"/>
      <w:r w:rsidRPr="00944138">
        <w:rPr>
          <w:rFonts w:eastAsia="Times New Roman" w:cs="Arial"/>
          <w:bCs/>
          <w:color w:val="000000"/>
          <w:lang w:eastAsia="it-IT"/>
        </w:rPr>
        <w:t xml:space="preserve"> respiratorio nei neonati pretermine</w:t>
      </w:r>
      <w:r w:rsidR="00B47BED">
        <w:rPr>
          <w:rFonts w:eastAsia="Times New Roman" w:cs="Arial"/>
          <w:bCs/>
          <w:color w:val="000000"/>
          <w:lang w:eastAsia="it-IT"/>
        </w:rPr>
        <w:t>.</w:t>
      </w:r>
    </w:p>
    <w:p w14:paraId="665B29C5" w14:textId="77777777" w:rsidR="00AA5B29" w:rsidRPr="00CA2A03" w:rsidRDefault="00AA5B29" w:rsidP="00944138">
      <w:pPr>
        <w:pStyle w:val="Paragrafoelenco"/>
        <w:widowControl w:val="0"/>
        <w:tabs>
          <w:tab w:val="left" w:pos="726"/>
          <w:tab w:val="left" w:pos="727"/>
        </w:tabs>
        <w:autoSpaceDE w:val="0"/>
        <w:autoSpaceDN w:val="0"/>
        <w:spacing w:after="0" w:line="240" w:lineRule="auto"/>
        <w:ind w:left="726"/>
        <w:contextualSpacing w:val="0"/>
        <w:jc w:val="both"/>
        <w:rPr>
          <w:rFonts w:cs="Arial"/>
          <w:bCs/>
          <w:color w:val="000000"/>
          <w:lang w:eastAsia="it-IT"/>
        </w:rPr>
      </w:pPr>
    </w:p>
    <w:p w14:paraId="665B29C6" w14:textId="77777777" w:rsidR="00AA5B29" w:rsidRPr="00944138" w:rsidRDefault="00AA5B29" w:rsidP="00AA5B2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Malattie delle vie respiratorie superiori:</w:t>
      </w:r>
    </w:p>
    <w:p w14:paraId="665B29C7" w14:textId="0D80FE42"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Forme gravi di pollinosi e rinite allergica dopo il fallimento della somministrazione </w:t>
      </w:r>
      <w:proofErr w:type="spellStart"/>
      <w:r w:rsidRPr="00C53271">
        <w:rPr>
          <w:rFonts w:eastAsia="Times New Roman" w:cs="Arial"/>
          <w:bCs/>
          <w:color w:val="000000"/>
          <w:lang w:eastAsia="it-IT"/>
        </w:rPr>
        <w:t>intranasale</w:t>
      </w:r>
      <w:proofErr w:type="spellEnd"/>
      <w:r w:rsidRPr="00C53271">
        <w:rPr>
          <w:rFonts w:eastAsia="Times New Roman" w:cs="Arial"/>
          <w:bCs/>
          <w:color w:val="000000"/>
          <w:lang w:eastAsia="it-IT"/>
        </w:rPr>
        <w:t xml:space="preserve"> di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w:t>
      </w:r>
    </w:p>
    <w:p w14:paraId="665B29C8" w14:textId="28A6DAFB"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Stenosi acuta della laringe e della trachea: edema di </w:t>
      </w:r>
      <w:proofErr w:type="spellStart"/>
      <w:r w:rsidRPr="00C53271">
        <w:rPr>
          <w:rFonts w:eastAsia="Times New Roman" w:cs="Arial"/>
          <w:bCs/>
          <w:color w:val="000000"/>
          <w:lang w:eastAsia="it-IT"/>
        </w:rPr>
        <w:t>Quincke</w:t>
      </w:r>
      <w:proofErr w:type="spellEnd"/>
      <w:r w:rsidRPr="00C53271">
        <w:rPr>
          <w:rFonts w:eastAsia="Times New Roman" w:cs="Arial"/>
          <w:bCs/>
          <w:color w:val="000000"/>
          <w:lang w:eastAsia="it-IT"/>
        </w:rPr>
        <w:t>, laringite ostruttiva sottoglottica (pseudo-</w:t>
      </w:r>
      <w:proofErr w:type="spellStart"/>
      <w:r w:rsidRPr="00C53271">
        <w:rPr>
          <w:rFonts w:eastAsia="Times New Roman" w:cs="Arial"/>
          <w:bCs/>
          <w:color w:val="000000"/>
          <w:lang w:eastAsia="it-IT"/>
        </w:rPr>
        <w:t>croup</w:t>
      </w:r>
      <w:proofErr w:type="spellEnd"/>
      <w:r w:rsidRPr="00C53271">
        <w:rPr>
          <w:rFonts w:eastAsia="Times New Roman" w:cs="Arial"/>
          <w:bCs/>
          <w:color w:val="000000"/>
          <w:lang w:eastAsia="it-IT"/>
        </w:rPr>
        <w:t xml:space="preserve">) </w:t>
      </w:r>
    </w:p>
    <w:p w14:paraId="665B29C9" w14:textId="77777777" w:rsidR="00AA5B29" w:rsidRPr="00C53271" w:rsidRDefault="00AA5B29" w:rsidP="00AA5B29">
      <w:pPr>
        <w:pStyle w:val="Corpotesto"/>
        <w:jc w:val="both"/>
        <w:rPr>
          <w:rFonts w:asciiTheme="minorHAnsi" w:hAnsiTheme="minorHAnsi" w:cs="Arial"/>
          <w:bCs/>
          <w:color w:val="000000"/>
          <w:lang w:eastAsia="it-IT"/>
        </w:rPr>
      </w:pPr>
    </w:p>
    <w:p w14:paraId="665B29CA" w14:textId="77777777" w:rsidR="00AA5B29" w:rsidRPr="00944138" w:rsidRDefault="00AA5B29" w:rsidP="00AA5B29">
      <w:pPr>
        <w:pStyle w:val="Titolo2"/>
        <w:ind w:left="0"/>
        <w:jc w:val="both"/>
        <w:rPr>
          <w:rFonts w:asciiTheme="minorHAnsi" w:hAnsiTheme="minorHAnsi" w:cs="Arial"/>
          <w:bCs w:val="0"/>
          <w:color w:val="000000"/>
          <w:lang w:eastAsia="it-IT"/>
        </w:rPr>
      </w:pPr>
      <w:r w:rsidRPr="00944138">
        <w:rPr>
          <w:rFonts w:asciiTheme="minorHAnsi" w:hAnsiTheme="minorHAnsi" w:cs="Arial"/>
          <w:bCs w:val="0"/>
          <w:color w:val="000000"/>
          <w:lang w:eastAsia="it-IT"/>
        </w:rPr>
        <w:t>Dermatologia:</w:t>
      </w:r>
    </w:p>
    <w:p w14:paraId="665B29CB" w14:textId="77777777" w:rsidR="00AA5B29" w:rsidRPr="00C53271" w:rsidRDefault="00AA5B29" w:rsidP="00AA5B29">
      <w:pPr>
        <w:pStyle w:val="Corpotesto"/>
        <w:jc w:val="both"/>
        <w:rPr>
          <w:rFonts w:asciiTheme="minorHAnsi" w:hAnsiTheme="minorHAnsi" w:cs="Arial"/>
          <w:bCs/>
          <w:color w:val="000000"/>
          <w:lang w:eastAsia="it-IT"/>
        </w:rPr>
      </w:pPr>
      <w:r w:rsidRPr="00C53271">
        <w:rPr>
          <w:rFonts w:asciiTheme="minorHAnsi" w:hAnsiTheme="minorHAnsi" w:cs="Arial"/>
          <w:bCs/>
          <w:color w:val="000000"/>
          <w:lang w:eastAsia="it-IT"/>
        </w:rPr>
        <w:t xml:space="preserve">Malattie della pelle e delle mucose che non possono essere trattate o non possono essere adeguatamente trattate con </w:t>
      </w:r>
      <w:proofErr w:type="spellStart"/>
      <w:r w:rsidRPr="00C53271">
        <w:rPr>
          <w:rFonts w:asciiTheme="minorHAnsi" w:hAnsiTheme="minorHAnsi" w:cs="Arial"/>
          <w:bCs/>
          <w:color w:val="000000"/>
          <w:lang w:eastAsia="it-IT"/>
        </w:rPr>
        <w:t>glucocorticoidi</w:t>
      </w:r>
      <w:proofErr w:type="spellEnd"/>
      <w:r w:rsidRPr="00C53271">
        <w:rPr>
          <w:rFonts w:asciiTheme="minorHAnsi" w:hAnsiTheme="minorHAnsi" w:cs="Arial"/>
          <w:bCs/>
          <w:color w:val="000000"/>
          <w:lang w:eastAsia="it-IT"/>
        </w:rPr>
        <w:t xml:space="preserve"> topici a causa della loro gravità e/o estensione o coinvolgimento del sistema. Questi includono:</w:t>
      </w:r>
    </w:p>
    <w:p w14:paraId="665B29CC" w14:textId="7003C03C"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allergiche, pseudo-allergiche e allergico-infettive: ad es. orticaria acuta, reazioni anafilattoidi, esantema farmacologico, eritema essudativo multiforme, </w:t>
      </w:r>
      <w:proofErr w:type="spellStart"/>
      <w:r w:rsidRPr="00C53271">
        <w:rPr>
          <w:rFonts w:eastAsia="Times New Roman" w:cs="Arial"/>
          <w:bCs/>
          <w:color w:val="000000"/>
          <w:lang w:eastAsia="it-IT"/>
        </w:rPr>
        <w:t>necrolisi</w:t>
      </w:r>
      <w:proofErr w:type="spellEnd"/>
      <w:r w:rsidRPr="00C53271">
        <w:rPr>
          <w:rFonts w:eastAsia="Times New Roman" w:cs="Arial"/>
          <w:bCs/>
          <w:color w:val="000000"/>
          <w:lang w:eastAsia="it-IT"/>
        </w:rPr>
        <w:t xml:space="preserve"> epidermica tossica (sindrome di </w:t>
      </w:r>
      <w:proofErr w:type="spellStart"/>
      <w:r w:rsidRPr="00C53271">
        <w:rPr>
          <w:rFonts w:eastAsia="Times New Roman" w:cs="Arial"/>
          <w:bCs/>
          <w:color w:val="000000"/>
          <w:lang w:eastAsia="it-IT"/>
        </w:rPr>
        <w:t>Lyell</w:t>
      </w:r>
      <w:proofErr w:type="spellEnd"/>
      <w:r w:rsidRPr="00C53271">
        <w:rPr>
          <w:rFonts w:eastAsia="Times New Roman" w:cs="Arial"/>
          <w:bCs/>
          <w:color w:val="000000"/>
          <w:lang w:eastAsia="it-IT"/>
        </w:rPr>
        <w:t xml:space="preserve">), pustolosi acuta generalizzata, eritema nodoso, dermatosi acuta febbrile dei neutrofili (sindrome di </w:t>
      </w:r>
      <w:proofErr w:type="spellStart"/>
      <w:r w:rsidRPr="00C53271">
        <w:rPr>
          <w:rFonts w:eastAsia="Times New Roman" w:cs="Arial"/>
          <w:bCs/>
          <w:color w:val="000000"/>
          <w:lang w:eastAsia="it-IT"/>
        </w:rPr>
        <w:t>Sweet</w:t>
      </w:r>
      <w:proofErr w:type="spellEnd"/>
      <w:r w:rsidRPr="00C53271">
        <w:rPr>
          <w:rFonts w:eastAsia="Times New Roman" w:cs="Arial"/>
          <w:bCs/>
          <w:color w:val="000000"/>
          <w:lang w:eastAsia="it-IT"/>
        </w:rPr>
        <w:t xml:space="preserve">), dermatite allergica da contatto </w:t>
      </w:r>
    </w:p>
    <w:p w14:paraId="665B29CD" w14:textId="5AF2AE6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Malattie da eczema: ad es. eczema atopico, eczema da contatto, eczema microbico (</w:t>
      </w:r>
      <w:proofErr w:type="spellStart"/>
      <w:r w:rsidRPr="00C53271">
        <w:rPr>
          <w:rFonts w:eastAsia="Times New Roman" w:cs="Arial"/>
          <w:bCs/>
          <w:color w:val="000000"/>
          <w:lang w:eastAsia="it-IT"/>
        </w:rPr>
        <w:t>nummulare</w:t>
      </w:r>
      <w:proofErr w:type="spellEnd"/>
      <w:r w:rsidRPr="00C53271">
        <w:rPr>
          <w:rFonts w:eastAsia="Times New Roman" w:cs="Arial"/>
          <w:bCs/>
          <w:color w:val="000000"/>
          <w:lang w:eastAsia="it-IT"/>
        </w:rPr>
        <w:t xml:space="preserve">) </w:t>
      </w:r>
    </w:p>
    <w:p w14:paraId="665B29CE" w14:textId="2B19F2A6"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granulomatose: ad es. sarcoidosi, cheilite granulomatosa (sindrome monosintomatica di </w:t>
      </w:r>
      <w:proofErr w:type="spellStart"/>
      <w:r w:rsidRPr="00C53271">
        <w:rPr>
          <w:rFonts w:eastAsia="Times New Roman" w:cs="Arial"/>
          <w:bCs/>
          <w:color w:val="000000"/>
          <w:lang w:eastAsia="it-IT"/>
        </w:rPr>
        <w:t>Melkersson-Rosenthal</w:t>
      </w:r>
      <w:proofErr w:type="spellEnd"/>
      <w:r w:rsidRPr="00C53271">
        <w:rPr>
          <w:rFonts w:eastAsia="Times New Roman" w:cs="Arial"/>
          <w:bCs/>
          <w:color w:val="000000"/>
          <w:lang w:eastAsia="it-IT"/>
        </w:rPr>
        <w:t xml:space="preserve">) </w:t>
      </w:r>
    </w:p>
    <w:p w14:paraId="665B29CF" w14:textId="1D7E917D"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bollose: ad es. pemfigo volgare, pemfigoide bolloso, pemfigoide benigno delle mucose, dermatosi </w:t>
      </w:r>
      <w:proofErr w:type="spellStart"/>
      <w:r w:rsidRPr="00C53271">
        <w:rPr>
          <w:rFonts w:eastAsia="Times New Roman" w:cs="Arial"/>
          <w:bCs/>
          <w:color w:val="000000"/>
          <w:lang w:eastAsia="it-IT"/>
        </w:rPr>
        <w:t>IgA</w:t>
      </w:r>
      <w:proofErr w:type="spellEnd"/>
      <w:r w:rsidRPr="00C53271">
        <w:rPr>
          <w:rFonts w:eastAsia="Times New Roman" w:cs="Arial"/>
          <w:bCs/>
          <w:color w:val="000000"/>
          <w:lang w:eastAsia="it-IT"/>
        </w:rPr>
        <w:t xml:space="preserve">-lineari </w:t>
      </w:r>
    </w:p>
    <w:p w14:paraId="665B29D0" w14:textId="1BA03151"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proofErr w:type="spellStart"/>
      <w:r w:rsidRPr="00C53271">
        <w:rPr>
          <w:rFonts w:eastAsia="Times New Roman" w:cs="Arial"/>
          <w:bCs/>
          <w:color w:val="000000"/>
          <w:lang w:eastAsia="it-IT"/>
        </w:rPr>
        <w:t>Vasculiti</w:t>
      </w:r>
      <w:proofErr w:type="spellEnd"/>
      <w:r w:rsidRPr="00C53271">
        <w:rPr>
          <w:rFonts w:eastAsia="Times New Roman" w:cs="Arial"/>
          <w:bCs/>
          <w:color w:val="000000"/>
          <w:lang w:eastAsia="it-IT"/>
        </w:rPr>
        <w:t xml:space="preserve">: per es. </w:t>
      </w:r>
      <w:proofErr w:type="spellStart"/>
      <w:r w:rsidRPr="00C53271">
        <w:rPr>
          <w:rFonts w:eastAsia="Times New Roman" w:cs="Arial"/>
          <w:bCs/>
          <w:color w:val="000000"/>
          <w:lang w:eastAsia="it-IT"/>
        </w:rPr>
        <w:t>Vasculite</w:t>
      </w:r>
      <w:proofErr w:type="spellEnd"/>
      <w:r w:rsidRPr="00C53271">
        <w:rPr>
          <w:rFonts w:eastAsia="Times New Roman" w:cs="Arial"/>
          <w:bCs/>
          <w:color w:val="000000"/>
          <w:lang w:eastAsia="it-IT"/>
        </w:rPr>
        <w:t xml:space="preserve"> allergica, </w:t>
      </w:r>
      <w:proofErr w:type="spellStart"/>
      <w:r w:rsidRPr="00C53271">
        <w:rPr>
          <w:rFonts w:eastAsia="Times New Roman" w:cs="Arial"/>
          <w:bCs/>
          <w:color w:val="000000"/>
          <w:lang w:eastAsia="it-IT"/>
        </w:rPr>
        <w:t>Poliarterite</w:t>
      </w:r>
      <w:proofErr w:type="spellEnd"/>
      <w:r w:rsidRPr="00C53271">
        <w:rPr>
          <w:rFonts w:eastAsia="Times New Roman" w:cs="Arial"/>
          <w:bCs/>
          <w:color w:val="000000"/>
          <w:lang w:eastAsia="it-IT"/>
        </w:rPr>
        <w:t xml:space="preserve"> nodosa </w:t>
      </w:r>
    </w:p>
    <w:p w14:paraId="665B29D1" w14:textId="6B90C026"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Malattie autoimmuni: ad es. </w:t>
      </w:r>
      <w:proofErr w:type="spellStart"/>
      <w:r w:rsidRPr="00C53271">
        <w:rPr>
          <w:rFonts w:eastAsia="Times New Roman" w:cs="Arial"/>
          <w:bCs/>
          <w:color w:val="000000"/>
          <w:lang w:eastAsia="it-IT"/>
        </w:rPr>
        <w:t>dermatomiosite</w:t>
      </w:r>
      <w:proofErr w:type="spellEnd"/>
      <w:r w:rsidRPr="00C53271">
        <w:rPr>
          <w:rFonts w:eastAsia="Times New Roman" w:cs="Arial"/>
          <w:bCs/>
          <w:color w:val="000000"/>
          <w:lang w:eastAsia="it-IT"/>
        </w:rPr>
        <w:t xml:space="preserve">, sclerodermia sistemica (fase indurativa), lupus eritematoso cutaneo cronico e subacuto </w:t>
      </w:r>
    </w:p>
    <w:p w14:paraId="665B29D2" w14:textId="4571B91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gravidiche (vedere anche paragrafo 4.6): ad esempio herpes </w:t>
      </w:r>
      <w:proofErr w:type="spellStart"/>
      <w:r w:rsidRPr="00C53271">
        <w:rPr>
          <w:rFonts w:eastAsia="Times New Roman" w:cs="Arial"/>
          <w:bCs/>
          <w:color w:val="000000"/>
          <w:lang w:eastAsia="it-IT"/>
        </w:rPr>
        <w:t>gestazionis</w:t>
      </w:r>
      <w:proofErr w:type="spellEnd"/>
      <w:r w:rsidRPr="00C53271">
        <w:rPr>
          <w:rFonts w:eastAsia="Times New Roman" w:cs="Arial"/>
          <w:bCs/>
          <w:color w:val="000000"/>
          <w:lang w:eastAsia="it-IT"/>
        </w:rPr>
        <w:t xml:space="preserve">, impetigine erpetiforme </w:t>
      </w:r>
    </w:p>
    <w:p w14:paraId="665B29D3" w14:textId="36D6E36D"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Dermatosi </w:t>
      </w:r>
      <w:proofErr w:type="spellStart"/>
      <w:r w:rsidRPr="00C53271">
        <w:rPr>
          <w:rFonts w:eastAsia="Times New Roman" w:cs="Arial"/>
          <w:bCs/>
          <w:color w:val="000000"/>
          <w:lang w:eastAsia="it-IT"/>
        </w:rPr>
        <w:t>eritemato</w:t>
      </w:r>
      <w:proofErr w:type="spellEnd"/>
      <w:r w:rsidRPr="00C53271">
        <w:rPr>
          <w:rFonts w:eastAsia="Times New Roman" w:cs="Arial"/>
          <w:bCs/>
          <w:color w:val="000000"/>
          <w:lang w:eastAsia="it-IT"/>
        </w:rPr>
        <w:t xml:space="preserve">-squamose: per es. psoriasi pustolosa, pitiriasi rubra pilare, gruppo delle </w:t>
      </w:r>
      <w:proofErr w:type="spellStart"/>
      <w:r w:rsidRPr="00C53271">
        <w:rPr>
          <w:rFonts w:eastAsia="Times New Roman" w:cs="Arial"/>
          <w:bCs/>
          <w:color w:val="000000"/>
          <w:lang w:eastAsia="it-IT"/>
        </w:rPr>
        <w:t>parapsoriasi</w:t>
      </w:r>
      <w:proofErr w:type="spellEnd"/>
      <w:r w:rsidRPr="00C53271">
        <w:rPr>
          <w:rFonts w:eastAsia="Times New Roman" w:cs="Arial"/>
          <w:bCs/>
          <w:color w:val="000000"/>
          <w:lang w:eastAsia="it-IT"/>
        </w:rPr>
        <w:t xml:space="preserve"> </w:t>
      </w:r>
    </w:p>
    <w:p w14:paraId="665B29D4" w14:textId="6CDFA34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Eritrodermia, anche nella sindrome di </w:t>
      </w:r>
      <w:proofErr w:type="spellStart"/>
      <w:r w:rsidRPr="00C53271">
        <w:rPr>
          <w:rFonts w:eastAsia="Times New Roman" w:cs="Arial"/>
          <w:bCs/>
          <w:color w:val="000000"/>
          <w:lang w:eastAsia="it-IT"/>
        </w:rPr>
        <w:t>Sézary</w:t>
      </w:r>
      <w:proofErr w:type="spellEnd"/>
      <w:r w:rsidRPr="00C53271">
        <w:rPr>
          <w:rFonts w:eastAsia="Times New Roman" w:cs="Arial"/>
          <w:bCs/>
          <w:color w:val="000000"/>
          <w:lang w:eastAsia="it-IT"/>
        </w:rPr>
        <w:t xml:space="preserve"> </w:t>
      </w:r>
    </w:p>
    <w:p w14:paraId="665B29D5" w14:textId="5A882DC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Altre patologie: ad es. reazione di </w:t>
      </w:r>
      <w:proofErr w:type="spellStart"/>
      <w:r w:rsidRPr="00C53271">
        <w:rPr>
          <w:rFonts w:eastAsia="Times New Roman" w:cs="Arial"/>
          <w:bCs/>
          <w:color w:val="000000"/>
          <w:lang w:eastAsia="it-IT"/>
        </w:rPr>
        <w:t>Jarisch-Herxheimer</w:t>
      </w:r>
      <w:proofErr w:type="spellEnd"/>
      <w:r w:rsidRPr="00C53271">
        <w:rPr>
          <w:rFonts w:eastAsia="Times New Roman" w:cs="Arial"/>
          <w:bCs/>
          <w:color w:val="000000"/>
          <w:lang w:eastAsia="it-IT"/>
        </w:rPr>
        <w:t xml:space="preserve"> con trattamento con penicillina del </w:t>
      </w:r>
      <w:proofErr w:type="spellStart"/>
      <w:r w:rsidRPr="00C53271">
        <w:rPr>
          <w:rFonts w:eastAsia="Times New Roman" w:cs="Arial"/>
          <w:bCs/>
          <w:color w:val="000000"/>
          <w:lang w:eastAsia="it-IT"/>
        </w:rPr>
        <w:t>Lues</w:t>
      </w:r>
      <w:proofErr w:type="spellEnd"/>
      <w:r w:rsidRPr="00C53271">
        <w:rPr>
          <w:rFonts w:eastAsia="Times New Roman" w:cs="Arial"/>
          <w:bCs/>
          <w:color w:val="000000"/>
          <w:lang w:eastAsia="it-IT"/>
        </w:rPr>
        <w:t xml:space="preserve">, emangioma cavernoso in crescita rapida e in aumento, malattia di </w:t>
      </w:r>
      <w:proofErr w:type="spellStart"/>
      <w:r w:rsidRPr="00C53271">
        <w:rPr>
          <w:rFonts w:eastAsia="Times New Roman" w:cs="Arial"/>
          <w:bCs/>
          <w:color w:val="000000"/>
          <w:lang w:eastAsia="it-IT"/>
        </w:rPr>
        <w:t>Behçet</w:t>
      </w:r>
      <w:proofErr w:type="spellEnd"/>
      <w:r w:rsidRPr="00C53271">
        <w:rPr>
          <w:rFonts w:eastAsia="Times New Roman" w:cs="Arial"/>
          <w:bCs/>
          <w:color w:val="000000"/>
          <w:lang w:eastAsia="it-IT"/>
        </w:rPr>
        <w:t xml:space="preserve">, </w:t>
      </w:r>
      <w:proofErr w:type="spellStart"/>
      <w:r w:rsidRPr="00C53271">
        <w:rPr>
          <w:rFonts w:eastAsia="Times New Roman" w:cs="Arial"/>
          <w:bCs/>
          <w:color w:val="000000"/>
          <w:lang w:eastAsia="it-IT"/>
        </w:rPr>
        <w:t>pioderma</w:t>
      </w:r>
      <w:proofErr w:type="spellEnd"/>
      <w:r w:rsidRPr="00C53271">
        <w:rPr>
          <w:rFonts w:eastAsia="Times New Roman" w:cs="Arial"/>
          <w:bCs/>
          <w:color w:val="000000"/>
          <w:lang w:eastAsia="it-IT"/>
        </w:rPr>
        <w:t xml:space="preserve"> gangrenoso, </w:t>
      </w:r>
      <w:proofErr w:type="spellStart"/>
      <w:r w:rsidRPr="00C53271">
        <w:rPr>
          <w:rFonts w:eastAsia="Times New Roman" w:cs="Arial"/>
          <w:bCs/>
          <w:color w:val="000000"/>
          <w:lang w:eastAsia="it-IT"/>
        </w:rPr>
        <w:t>fascite</w:t>
      </w:r>
      <w:proofErr w:type="spellEnd"/>
      <w:r w:rsidRPr="00C53271">
        <w:rPr>
          <w:rFonts w:eastAsia="Times New Roman" w:cs="Arial"/>
          <w:bCs/>
          <w:color w:val="000000"/>
          <w:lang w:eastAsia="it-IT"/>
        </w:rPr>
        <w:t xml:space="preserve"> eosinofila, lichen </w:t>
      </w:r>
      <w:proofErr w:type="spellStart"/>
      <w:r w:rsidRPr="00C53271">
        <w:rPr>
          <w:rFonts w:eastAsia="Times New Roman" w:cs="Arial"/>
          <w:bCs/>
          <w:color w:val="000000"/>
          <w:lang w:eastAsia="it-IT"/>
        </w:rPr>
        <w:t>ruber</w:t>
      </w:r>
      <w:proofErr w:type="spellEnd"/>
      <w:r w:rsidRPr="00C53271">
        <w:rPr>
          <w:rFonts w:eastAsia="Times New Roman" w:cs="Arial"/>
          <w:bCs/>
          <w:color w:val="000000"/>
          <w:lang w:eastAsia="it-IT"/>
        </w:rPr>
        <w:t xml:space="preserve"> esantematico, </w:t>
      </w:r>
      <w:proofErr w:type="spellStart"/>
      <w:r w:rsidRPr="00C53271">
        <w:rPr>
          <w:rFonts w:eastAsia="Times New Roman" w:cs="Arial"/>
          <w:bCs/>
          <w:color w:val="000000"/>
          <w:lang w:eastAsia="it-IT"/>
        </w:rPr>
        <w:t>epidermolisi</w:t>
      </w:r>
      <w:proofErr w:type="spellEnd"/>
      <w:r w:rsidRPr="00C53271">
        <w:rPr>
          <w:rFonts w:eastAsia="Times New Roman" w:cs="Arial"/>
          <w:bCs/>
          <w:color w:val="000000"/>
          <w:lang w:eastAsia="it-IT"/>
        </w:rPr>
        <w:t xml:space="preserve"> bollosa ereditaria </w:t>
      </w:r>
    </w:p>
    <w:p w14:paraId="665B29D6" w14:textId="77777777" w:rsidR="00AA5B29" w:rsidRPr="00C53271" w:rsidRDefault="00AA5B29" w:rsidP="00AA5B29">
      <w:pPr>
        <w:pStyle w:val="Corpotesto"/>
        <w:jc w:val="both"/>
        <w:rPr>
          <w:rFonts w:asciiTheme="minorHAnsi" w:hAnsiTheme="minorHAnsi" w:cs="Arial"/>
          <w:bCs/>
          <w:color w:val="000000"/>
          <w:lang w:eastAsia="it-IT"/>
        </w:rPr>
      </w:pPr>
    </w:p>
    <w:p w14:paraId="665B29D7" w14:textId="77777777" w:rsidR="00AA5B29" w:rsidRPr="00541BC6" w:rsidRDefault="00AA5B29" w:rsidP="00AA5B29">
      <w:pPr>
        <w:pStyle w:val="Titolo2"/>
        <w:ind w:left="0"/>
        <w:jc w:val="both"/>
        <w:rPr>
          <w:rFonts w:asciiTheme="minorHAnsi" w:hAnsiTheme="minorHAnsi" w:cs="Arial"/>
          <w:bCs w:val="0"/>
          <w:color w:val="000000"/>
          <w:lang w:eastAsia="it-IT"/>
        </w:rPr>
      </w:pPr>
      <w:r w:rsidRPr="00541BC6">
        <w:rPr>
          <w:rFonts w:asciiTheme="minorHAnsi" w:hAnsiTheme="minorHAnsi" w:cs="Arial"/>
          <w:bCs w:val="0"/>
          <w:color w:val="000000"/>
          <w:lang w:eastAsia="it-IT"/>
        </w:rPr>
        <w:t>Ematologia/oncologia:</w:t>
      </w:r>
    </w:p>
    <w:p w14:paraId="665B29D8" w14:textId="48BC8AD9"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2" w:name="_Hlk169605985"/>
      <w:r w:rsidRPr="00C53271">
        <w:rPr>
          <w:rFonts w:eastAsia="Times New Roman" w:cs="Arial"/>
          <w:bCs/>
          <w:color w:val="000000"/>
          <w:lang w:eastAsia="it-IT"/>
        </w:rPr>
        <w:t xml:space="preserve">Anemia emolitica autoimmune, porpora </w:t>
      </w:r>
      <w:proofErr w:type="spellStart"/>
      <w:r w:rsidRPr="00C53271">
        <w:rPr>
          <w:rFonts w:eastAsia="Times New Roman" w:cs="Arial"/>
          <w:bCs/>
          <w:color w:val="000000"/>
          <w:lang w:eastAsia="it-IT"/>
        </w:rPr>
        <w:t>trombocitopenica</w:t>
      </w:r>
      <w:proofErr w:type="spellEnd"/>
      <w:r w:rsidRPr="00C53271">
        <w:rPr>
          <w:rFonts w:eastAsia="Times New Roman" w:cs="Arial"/>
          <w:bCs/>
          <w:color w:val="000000"/>
          <w:lang w:eastAsia="it-IT"/>
        </w:rPr>
        <w:t xml:space="preserve"> idiopatica (malattia di </w:t>
      </w:r>
      <w:proofErr w:type="spellStart"/>
      <w:r w:rsidRPr="00C53271">
        <w:rPr>
          <w:rFonts w:eastAsia="Times New Roman" w:cs="Arial"/>
          <w:bCs/>
          <w:color w:val="000000"/>
          <w:lang w:eastAsia="it-IT"/>
        </w:rPr>
        <w:t>Werlhof</w:t>
      </w:r>
      <w:proofErr w:type="spellEnd"/>
      <w:r w:rsidRPr="00C53271">
        <w:rPr>
          <w:rFonts w:eastAsia="Times New Roman" w:cs="Arial"/>
          <w:bCs/>
          <w:color w:val="000000"/>
          <w:lang w:eastAsia="it-IT"/>
        </w:rPr>
        <w:t xml:space="preserve">), trombocitopenia acuta intermittente </w:t>
      </w:r>
    </w:p>
    <w:p w14:paraId="665B29D9" w14:textId="15FC50A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Leucemia linfoblastica acuta, morbo di </w:t>
      </w:r>
      <w:proofErr w:type="spellStart"/>
      <w:r w:rsidRPr="00C53271">
        <w:rPr>
          <w:rFonts w:eastAsia="Times New Roman" w:cs="Arial"/>
          <w:bCs/>
          <w:color w:val="000000"/>
          <w:lang w:eastAsia="it-IT"/>
        </w:rPr>
        <w:t>Hodgkin</w:t>
      </w:r>
      <w:proofErr w:type="spellEnd"/>
      <w:r w:rsidRPr="00C53271">
        <w:rPr>
          <w:rFonts w:eastAsia="Times New Roman" w:cs="Arial"/>
          <w:bCs/>
          <w:color w:val="000000"/>
          <w:lang w:eastAsia="it-IT"/>
        </w:rPr>
        <w:t>, linfoma non-</w:t>
      </w:r>
      <w:proofErr w:type="spellStart"/>
      <w:r w:rsidRPr="00C53271">
        <w:rPr>
          <w:rFonts w:eastAsia="Times New Roman" w:cs="Arial"/>
          <w:bCs/>
          <w:color w:val="000000"/>
          <w:lang w:eastAsia="it-IT"/>
        </w:rPr>
        <w:t>Hodgkin</w:t>
      </w:r>
      <w:proofErr w:type="spellEnd"/>
      <w:r w:rsidRPr="00C53271">
        <w:rPr>
          <w:rFonts w:eastAsia="Times New Roman" w:cs="Arial"/>
          <w:bCs/>
          <w:color w:val="000000"/>
          <w:lang w:eastAsia="it-IT"/>
        </w:rPr>
        <w:t xml:space="preserve">, leucemia linfatica cronica, morbo di </w:t>
      </w:r>
      <w:proofErr w:type="spellStart"/>
      <w:r w:rsidRPr="00C53271">
        <w:rPr>
          <w:rFonts w:eastAsia="Times New Roman" w:cs="Arial"/>
          <w:bCs/>
          <w:color w:val="000000"/>
          <w:lang w:eastAsia="it-IT"/>
        </w:rPr>
        <w:t>Waldenström</w:t>
      </w:r>
      <w:proofErr w:type="spellEnd"/>
      <w:r w:rsidRPr="00C53271">
        <w:rPr>
          <w:rFonts w:eastAsia="Times New Roman" w:cs="Arial"/>
          <w:bCs/>
          <w:color w:val="000000"/>
          <w:lang w:eastAsia="it-IT"/>
        </w:rPr>
        <w:t xml:space="preserve">, mieloma multiplo </w:t>
      </w:r>
    </w:p>
    <w:p w14:paraId="665B29DA" w14:textId="241305D3"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Ipercalcemia nelle neoplasie maligne sottostanti</w:t>
      </w:r>
    </w:p>
    <w:p w14:paraId="665B29DB" w14:textId="0427932F"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lastRenderedPageBreak/>
        <w:t>Profilassi e terapia del vomito indotto citostatico, uso in schemi antiemetici</w:t>
      </w:r>
    </w:p>
    <w:p w14:paraId="665B29DC"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Terapia palliativa delle malattie maligne</w:t>
      </w:r>
    </w:p>
    <w:p w14:paraId="665B29DD" w14:textId="77777777" w:rsidR="00AA5B29" w:rsidRPr="00C53271" w:rsidRDefault="00AA5B29" w:rsidP="00AA5B29">
      <w:pPr>
        <w:pStyle w:val="Corpotesto"/>
        <w:ind w:left="726"/>
        <w:jc w:val="both"/>
        <w:rPr>
          <w:rFonts w:asciiTheme="minorHAnsi" w:hAnsiTheme="minorHAnsi" w:cs="Arial"/>
          <w:bCs/>
          <w:color w:val="000000"/>
          <w:lang w:eastAsia="it-IT"/>
        </w:rPr>
      </w:pPr>
      <w:r w:rsidRPr="00C53271">
        <w:rPr>
          <w:rFonts w:asciiTheme="minorHAnsi" w:hAnsiTheme="minorHAnsi" w:cs="Arial"/>
          <w:bCs/>
          <w:color w:val="000000"/>
          <w:lang w:eastAsia="it-IT"/>
        </w:rPr>
        <w:t>Nota: il prednisone può essere usato per alleviare i sintomi, ad esempio inappetenza, anoressia e debolezza generale nelle neoplasie maligne avanzate, dopo che sono state esaurite le opzioni terapeutiche specifiche. Per maggiori dettagli consultare la letteratura medica corrente.</w:t>
      </w:r>
    </w:p>
    <w:bookmarkEnd w:id="2"/>
    <w:p w14:paraId="665B29DE" w14:textId="77777777" w:rsidR="00AA5B29" w:rsidRPr="00C53271" w:rsidRDefault="00AA5B29" w:rsidP="00AA5B29">
      <w:pPr>
        <w:pStyle w:val="Corpotesto"/>
        <w:rPr>
          <w:rFonts w:asciiTheme="minorHAnsi" w:hAnsiTheme="minorHAnsi" w:cs="Arial"/>
          <w:bCs/>
          <w:color w:val="000000"/>
          <w:lang w:eastAsia="it-IT"/>
        </w:rPr>
      </w:pPr>
    </w:p>
    <w:p w14:paraId="665B29DF" w14:textId="3D132896" w:rsidR="00AA5B29" w:rsidRPr="00C53271" w:rsidRDefault="00AA5B29" w:rsidP="00AA5B29">
      <w:pPr>
        <w:pStyle w:val="Titolo2"/>
        <w:ind w:left="0"/>
        <w:jc w:val="both"/>
        <w:rPr>
          <w:rFonts w:asciiTheme="minorHAnsi" w:hAnsiTheme="minorHAnsi" w:cs="Arial"/>
          <w:b w:val="0"/>
          <w:color w:val="000000"/>
          <w:lang w:eastAsia="it-IT"/>
        </w:rPr>
      </w:pPr>
      <w:r w:rsidRPr="00541BC6">
        <w:rPr>
          <w:rFonts w:asciiTheme="minorHAnsi" w:hAnsiTheme="minorHAnsi" w:cs="Arial"/>
          <w:bCs w:val="0"/>
          <w:color w:val="000000"/>
          <w:lang w:eastAsia="it-IT"/>
        </w:rPr>
        <w:t>Neurologia</w:t>
      </w:r>
      <w:r w:rsidRPr="00C53271">
        <w:rPr>
          <w:rFonts w:asciiTheme="minorHAnsi" w:hAnsiTheme="minorHAnsi" w:cs="Arial"/>
          <w:b w:val="0"/>
          <w:color w:val="000000"/>
          <w:lang w:eastAsia="it-IT"/>
        </w:rPr>
        <w:t>:</w:t>
      </w:r>
    </w:p>
    <w:p w14:paraId="665B29E0"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3" w:name="_Hlk169606032"/>
      <w:r w:rsidRPr="00C53271">
        <w:rPr>
          <w:rFonts w:eastAsia="Times New Roman" w:cs="Arial"/>
          <w:bCs/>
          <w:color w:val="000000"/>
          <w:lang w:eastAsia="it-IT"/>
        </w:rPr>
        <w:t xml:space="preserve">Miastenia grave (farmaco di prima scelta è </w:t>
      </w:r>
      <w:proofErr w:type="spellStart"/>
      <w:r w:rsidRPr="00C53271">
        <w:rPr>
          <w:rFonts w:eastAsia="Times New Roman" w:cs="Arial"/>
          <w:bCs/>
          <w:color w:val="000000"/>
          <w:lang w:eastAsia="it-IT"/>
        </w:rPr>
        <w:t>azatioprina</w:t>
      </w:r>
      <w:proofErr w:type="spellEnd"/>
      <w:r w:rsidRPr="00C53271">
        <w:rPr>
          <w:rFonts w:eastAsia="Times New Roman" w:cs="Arial"/>
          <w:bCs/>
          <w:color w:val="000000"/>
          <w:lang w:eastAsia="it-IT"/>
        </w:rPr>
        <w:t>)</w:t>
      </w:r>
    </w:p>
    <w:p w14:paraId="665B29E1"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Sindrome di </w:t>
      </w:r>
      <w:proofErr w:type="spellStart"/>
      <w:r w:rsidRPr="00C53271">
        <w:rPr>
          <w:rFonts w:eastAsia="Times New Roman" w:cs="Arial"/>
          <w:bCs/>
          <w:color w:val="000000"/>
          <w:lang w:eastAsia="it-IT"/>
        </w:rPr>
        <w:t>Guillain-Barré</w:t>
      </w:r>
      <w:proofErr w:type="spellEnd"/>
      <w:r w:rsidRPr="00C53271">
        <w:rPr>
          <w:rFonts w:eastAsia="Times New Roman" w:cs="Arial"/>
          <w:bCs/>
          <w:color w:val="000000"/>
          <w:lang w:eastAsia="it-IT"/>
        </w:rPr>
        <w:t xml:space="preserve"> cronica.</w:t>
      </w:r>
    </w:p>
    <w:p w14:paraId="665B29E2"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Sindrome di Tolosa-</w:t>
      </w:r>
      <w:proofErr w:type="spellStart"/>
      <w:r w:rsidRPr="00C53271">
        <w:rPr>
          <w:rFonts w:eastAsia="Times New Roman" w:cs="Arial"/>
          <w:bCs/>
          <w:color w:val="000000"/>
          <w:lang w:eastAsia="it-IT"/>
        </w:rPr>
        <w:t>Hunt</w:t>
      </w:r>
      <w:proofErr w:type="spellEnd"/>
    </w:p>
    <w:p w14:paraId="665B29E3"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Polineuropatia in </w:t>
      </w:r>
      <w:proofErr w:type="spellStart"/>
      <w:r w:rsidRPr="00C53271">
        <w:rPr>
          <w:rFonts w:eastAsia="Times New Roman" w:cs="Arial"/>
          <w:bCs/>
          <w:color w:val="000000"/>
          <w:lang w:eastAsia="it-IT"/>
        </w:rPr>
        <w:t>gammopatia</w:t>
      </w:r>
      <w:proofErr w:type="spellEnd"/>
      <w:r w:rsidRPr="00C53271">
        <w:rPr>
          <w:rFonts w:eastAsia="Times New Roman" w:cs="Arial"/>
          <w:bCs/>
          <w:color w:val="000000"/>
          <w:lang w:eastAsia="it-IT"/>
        </w:rPr>
        <w:t xml:space="preserve"> monoclonale</w:t>
      </w:r>
    </w:p>
    <w:p w14:paraId="665B29E4"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Sclerosi multipla (diminuendo la dose gradualmente fino alla sospensione dopo aver somministrato </w:t>
      </w:r>
      <w:proofErr w:type="spellStart"/>
      <w:r w:rsidRPr="00C53271">
        <w:rPr>
          <w:rFonts w:eastAsia="Times New Roman" w:cs="Arial"/>
          <w:bCs/>
          <w:color w:val="000000"/>
          <w:lang w:eastAsia="it-IT"/>
        </w:rPr>
        <w:t>glucocorticoidi</w:t>
      </w:r>
      <w:proofErr w:type="spellEnd"/>
      <w:r w:rsidRPr="00C53271">
        <w:rPr>
          <w:rFonts w:eastAsia="Times New Roman" w:cs="Arial"/>
          <w:bCs/>
          <w:color w:val="000000"/>
          <w:lang w:eastAsia="it-IT"/>
        </w:rPr>
        <w:t xml:space="preserve"> ad alte dosi per via parenterale nella fase acuta)</w:t>
      </w:r>
    </w:p>
    <w:p w14:paraId="665B29E5"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Sindrome di West (Spasmi infantili)</w:t>
      </w:r>
    </w:p>
    <w:bookmarkEnd w:id="3"/>
    <w:p w14:paraId="665B29E6" w14:textId="77777777" w:rsidR="00AA5B29" w:rsidRPr="00C53271" w:rsidRDefault="00AA5B29" w:rsidP="00AA5B29">
      <w:pPr>
        <w:pStyle w:val="Corpotesto"/>
        <w:jc w:val="both"/>
        <w:rPr>
          <w:rFonts w:asciiTheme="minorHAnsi" w:hAnsiTheme="minorHAnsi" w:cs="Arial"/>
          <w:bCs/>
          <w:color w:val="000000"/>
          <w:lang w:eastAsia="it-IT"/>
        </w:rPr>
      </w:pPr>
    </w:p>
    <w:p w14:paraId="665B29E7" w14:textId="77777777" w:rsidR="00AA5B29" w:rsidRPr="00C53271" w:rsidRDefault="00AA5B29" w:rsidP="00AA5B29">
      <w:pPr>
        <w:pStyle w:val="Titolo2"/>
        <w:ind w:left="0"/>
        <w:jc w:val="both"/>
        <w:rPr>
          <w:rFonts w:asciiTheme="minorHAnsi" w:hAnsiTheme="minorHAnsi" w:cs="Arial"/>
          <w:b w:val="0"/>
          <w:color w:val="000000"/>
          <w:lang w:eastAsia="it-IT"/>
        </w:rPr>
      </w:pPr>
      <w:r w:rsidRPr="00313FE6">
        <w:rPr>
          <w:rFonts w:asciiTheme="minorHAnsi" w:hAnsiTheme="minorHAnsi" w:cs="Arial"/>
          <w:bCs w:val="0"/>
          <w:color w:val="000000"/>
          <w:lang w:eastAsia="it-IT"/>
        </w:rPr>
        <w:t>Infettivologia</w:t>
      </w:r>
      <w:r w:rsidRPr="00C53271">
        <w:rPr>
          <w:rFonts w:asciiTheme="minorHAnsi" w:hAnsiTheme="minorHAnsi" w:cs="Arial"/>
          <w:b w:val="0"/>
          <w:color w:val="000000"/>
          <w:lang w:eastAsia="it-IT"/>
        </w:rPr>
        <w:t>:</w:t>
      </w:r>
    </w:p>
    <w:p w14:paraId="665B29E8" w14:textId="40527619"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4" w:name="_Hlk169606072"/>
      <w:r w:rsidRPr="00C53271">
        <w:rPr>
          <w:rFonts w:eastAsia="Times New Roman" w:cs="Arial"/>
          <w:bCs/>
          <w:color w:val="000000"/>
          <w:lang w:eastAsia="it-IT"/>
        </w:rPr>
        <w:t xml:space="preserve">Condizioni tossiche associate a gravi malattie infettive (in associazione con antibiotici/chemioterapia), ad es. meningite tubercolare, tubercolosi polmonare grave </w:t>
      </w:r>
    </w:p>
    <w:bookmarkEnd w:id="4"/>
    <w:p w14:paraId="665B29E9" w14:textId="77777777" w:rsidR="00AA5B29" w:rsidRPr="00C53271" w:rsidRDefault="00AA5B29" w:rsidP="00AA5B29">
      <w:pPr>
        <w:pStyle w:val="Corpotesto"/>
        <w:jc w:val="both"/>
        <w:rPr>
          <w:rFonts w:asciiTheme="minorHAnsi" w:hAnsiTheme="minorHAnsi" w:cs="Arial"/>
          <w:bCs/>
          <w:color w:val="000000"/>
          <w:lang w:eastAsia="it-IT"/>
        </w:rPr>
      </w:pPr>
    </w:p>
    <w:p w14:paraId="665B29EA" w14:textId="23B5A675" w:rsidR="00AA5B29" w:rsidRPr="00313FE6" w:rsidRDefault="00AA5B29" w:rsidP="00AA5B29">
      <w:pPr>
        <w:pStyle w:val="Titolo2"/>
        <w:ind w:left="0"/>
        <w:jc w:val="both"/>
        <w:rPr>
          <w:rFonts w:asciiTheme="minorHAnsi" w:hAnsiTheme="minorHAnsi" w:cs="Arial"/>
          <w:bCs w:val="0"/>
          <w:color w:val="000000"/>
          <w:lang w:eastAsia="it-IT"/>
        </w:rPr>
      </w:pPr>
      <w:r w:rsidRPr="00313FE6">
        <w:rPr>
          <w:rFonts w:asciiTheme="minorHAnsi" w:hAnsiTheme="minorHAnsi" w:cs="Arial"/>
          <w:bCs w:val="0"/>
          <w:color w:val="000000"/>
          <w:lang w:eastAsia="it-IT"/>
        </w:rPr>
        <w:t>Patologie oftalmiche:</w:t>
      </w:r>
    </w:p>
    <w:p w14:paraId="665B29EB" w14:textId="77777777"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5" w:name="_Hlk169606189"/>
      <w:r w:rsidRPr="00C53271">
        <w:rPr>
          <w:rFonts w:eastAsia="Times New Roman" w:cs="Arial"/>
          <w:bCs/>
          <w:color w:val="000000"/>
          <w:lang w:eastAsia="it-IT"/>
        </w:rPr>
        <w:t xml:space="preserve">Nelle malattie sistemiche che coinvolgono l'occhio e nei processi immunologici nell'orbita e nell'occhio: neuropatia ottica (ad es. arterite a cellule giganti, neuropatia ottica ischemica anteriore (NOIA), neuropatia ottica traumatica), malattia di </w:t>
      </w:r>
      <w:proofErr w:type="spellStart"/>
      <w:r w:rsidRPr="00C53271">
        <w:rPr>
          <w:rFonts w:eastAsia="Times New Roman" w:cs="Arial"/>
          <w:bCs/>
          <w:color w:val="000000"/>
          <w:lang w:eastAsia="it-IT"/>
        </w:rPr>
        <w:t>Behçet</w:t>
      </w:r>
      <w:proofErr w:type="spellEnd"/>
      <w:r w:rsidRPr="00C53271">
        <w:rPr>
          <w:rFonts w:eastAsia="Times New Roman" w:cs="Arial"/>
          <w:bCs/>
          <w:color w:val="000000"/>
          <w:lang w:eastAsia="it-IT"/>
        </w:rPr>
        <w:t xml:space="preserve">, sarcoidosi, </w:t>
      </w:r>
      <w:proofErr w:type="spellStart"/>
      <w:r w:rsidRPr="00C53271">
        <w:rPr>
          <w:rFonts w:eastAsia="Times New Roman" w:cs="Arial"/>
          <w:bCs/>
          <w:color w:val="000000"/>
          <w:lang w:eastAsia="it-IT"/>
        </w:rPr>
        <w:t>orbitopatia</w:t>
      </w:r>
      <w:proofErr w:type="spellEnd"/>
      <w:r w:rsidRPr="00C53271">
        <w:rPr>
          <w:rFonts w:eastAsia="Times New Roman" w:cs="Arial"/>
          <w:bCs/>
          <w:color w:val="000000"/>
          <w:lang w:eastAsia="it-IT"/>
        </w:rPr>
        <w:t xml:space="preserve"> endocrina, </w:t>
      </w:r>
      <w:proofErr w:type="spellStart"/>
      <w:r w:rsidRPr="00C53271">
        <w:rPr>
          <w:rFonts w:eastAsia="Times New Roman" w:cs="Arial"/>
          <w:bCs/>
          <w:color w:val="000000"/>
          <w:lang w:eastAsia="it-IT"/>
        </w:rPr>
        <w:t>pseudotumore</w:t>
      </w:r>
      <w:proofErr w:type="spellEnd"/>
      <w:r w:rsidRPr="00C53271">
        <w:rPr>
          <w:rFonts w:eastAsia="Times New Roman" w:cs="Arial"/>
          <w:bCs/>
          <w:color w:val="000000"/>
          <w:lang w:eastAsia="it-IT"/>
        </w:rPr>
        <w:t xml:space="preserve"> dell'orbita, rigetto del trapianto e in alcune uveiti come la malattia di </w:t>
      </w:r>
      <w:proofErr w:type="spellStart"/>
      <w:r w:rsidRPr="00C53271">
        <w:rPr>
          <w:rFonts w:eastAsia="Times New Roman" w:cs="Arial"/>
          <w:bCs/>
          <w:color w:val="000000"/>
          <w:lang w:eastAsia="it-IT"/>
        </w:rPr>
        <w:t>Harada</w:t>
      </w:r>
      <w:proofErr w:type="spellEnd"/>
      <w:r w:rsidRPr="00C53271">
        <w:rPr>
          <w:rFonts w:eastAsia="Times New Roman" w:cs="Arial"/>
          <w:bCs/>
          <w:color w:val="000000"/>
          <w:lang w:eastAsia="it-IT"/>
        </w:rPr>
        <w:t xml:space="preserve"> e l'oftalmia simpatica</w:t>
      </w:r>
    </w:p>
    <w:p w14:paraId="665B29EC" w14:textId="3A972F9B"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La somministrazione sistemica è indicata solo dopo un trattamento locale infruttuoso nelle seguenti malattie: sclerite, episclerite, cheratite, ciclite cronica, uveite, congiuntivite allergica, ustioni chimiche da alcali, in associazione con terapia antimicrobica nella cheratite interstiziale autoimmune o associata alla sifilide, in cheratite stromale da herpes simplex solo se l'epitelio corneale è integro e controlli oculistici regolari</w:t>
      </w:r>
      <w:r w:rsidR="003970D4">
        <w:rPr>
          <w:rFonts w:eastAsia="Times New Roman" w:cs="Arial"/>
          <w:bCs/>
          <w:color w:val="000000"/>
          <w:lang w:eastAsia="it-IT"/>
        </w:rPr>
        <w:t>.</w:t>
      </w:r>
    </w:p>
    <w:bookmarkEnd w:id="5"/>
    <w:p w14:paraId="665B29ED" w14:textId="77777777" w:rsidR="00AA5B29" w:rsidRPr="00C53271" w:rsidRDefault="00AA5B29" w:rsidP="00AA5B29">
      <w:pPr>
        <w:pStyle w:val="Corpotesto"/>
        <w:jc w:val="both"/>
        <w:rPr>
          <w:rFonts w:asciiTheme="minorHAnsi" w:hAnsiTheme="minorHAnsi" w:cs="Arial"/>
          <w:bCs/>
          <w:color w:val="000000"/>
          <w:lang w:eastAsia="it-IT"/>
        </w:rPr>
      </w:pPr>
    </w:p>
    <w:p w14:paraId="665B29EE" w14:textId="77777777" w:rsidR="00AA5B29" w:rsidRPr="00313FE6" w:rsidRDefault="00AA5B29" w:rsidP="00AA5B29">
      <w:pPr>
        <w:pStyle w:val="Titolo2"/>
        <w:ind w:left="0"/>
        <w:jc w:val="both"/>
        <w:rPr>
          <w:rFonts w:asciiTheme="minorHAnsi" w:hAnsiTheme="minorHAnsi" w:cs="Arial"/>
          <w:bCs w:val="0"/>
          <w:color w:val="000000"/>
          <w:lang w:eastAsia="it-IT"/>
        </w:rPr>
      </w:pPr>
      <w:r w:rsidRPr="00313FE6">
        <w:rPr>
          <w:rFonts w:asciiTheme="minorHAnsi" w:hAnsiTheme="minorHAnsi" w:cs="Arial"/>
          <w:bCs w:val="0"/>
          <w:color w:val="000000"/>
          <w:lang w:eastAsia="it-IT"/>
        </w:rPr>
        <w:t>Gastroenterologia/epatologia:</w:t>
      </w:r>
    </w:p>
    <w:p w14:paraId="665B29EF" w14:textId="37F1F56E"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6" w:name="_Hlk169606539"/>
      <w:r w:rsidRPr="00C53271">
        <w:rPr>
          <w:rFonts w:eastAsia="Times New Roman" w:cs="Arial"/>
          <w:bCs/>
          <w:color w:val="000000"/>
          <w:lang w:eastAsia="it-IT"/>
        </w:rPr>
        <w:t xml:space="preserve">Colite ulcerosa </w:t>
      </w:r>
    </w:p>
    <w:p w14:paraId="665B29F0" w14:textId="58615C91"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Malattia di </w:t>
      </w:r>
      <w:proofErr w:type="spellStart"/>
      <w:r w:rsidRPr="00C53271">
        <w:rPr>
          <w:rFonts w:eastAsia="Times New Roman" w:cs="Arial"/>
          <w:bCs/>
          <w:color w:val="000000"/>
          <w:lang w:eastAsia="it-IT"/>
        </w:rPr>
        <w:t>Crohn</w:t>
      </w:r>
      <w:proofErr w:type="spellEnd"/>
      <w:r w:rsidRPr="00C53271">
        <w:rPr>
          <w:rFonts w:eastAsia="Times New Roman" w:cs="Arial"/>
          <w:bCs/>
          <w:color w:val="000000"/>
          <w:lang w:eastAsia="it-IT"/>
        </w:rPr>
        <w:t xml:space="preserve"> </w:t>
      </w:r>
    </w:p>
    <w:p w14:paraId="665B29F1" w14:textId="2A291E3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Epatite autoimmune</w:t>
      </w:r>
    </w:p>
    <w:p w14:paraId="665B29F2" w14:textId="0677E66A"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 xml:space="preserve">Ustione dell’esofago </w:t>
      </w:r>
    </w:p>
    <w:bookmarkEnd w:id="6"/>
    <w:p w14:paraId="665B29F3" w14:textId="77777777" w:rsidR="00AA5B29" w:rsidRPr="00C53271" w:rsidRDefault="00AA5B29" w:rsidP="00AA5B29">
      <w:pPr>
        <w:tabs>
          <w:tab w:val="left" w:pos="726"/>
          <w:tab w:val="left" w:pos="727"/>
        </w:tabs>
        <w:ind w:left="159"/>
        <w:jc w:val="both"/>
        <w:rPr>
          <w:rFonts w:eastAsia="Times New Roman" w:cs="Arial"/>
          <w:bCs/>
          <w:color w:val="000000"/>
          <w:lang w:eastAsia="it-IT"/>
        </w:rPr>
      </w:pPr>
    </w:p>
    <w:p w14:paraId="665B29F4" w14:textId="77777777" w:rsidR="00AA5B29" w:rsidRPr="00313FE6" w:rsidRDefault="00AA5B29" w:rsidP="00AA5B29">
      <w:pPr>
        <w:pStyle w:val="Titolo2"/>
        <w:ind w:left="0"/>
        <w:jc w:val="both"/>
        <w:rPr>
          <w:rFonts w:asciiTheme="minorHAnsi" w:hAnsiTheme="minorHAnsi" w:cs="Arial"/>
          <w:bCs w:val="0"/>
          <w:color w:val="000000"/>
          <w:lang w:eastAsia="it-IT"/>
        </w:rPr>
      </w:pPr>
      <w:r w:rsidRPr="00313FE6">
        <w:rPr>
          <w:rFonts w:asciiTheme="minorHAnsi" w:hAnsiTheme="minorHAnsi" w:cs="Arial"/>
          <w:bCs w:val="0"/>
          <w:color w:val="000000"/>
          <w:lang w:eastAsia="it-IT"/>
        </w:rPr>
        <w:t>Nefrologia:</w:t>
      </w:r>
    </w:p>
    <w:p w14:paraId="665B29F5" w14:textId="4067C350"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bookmarkStart w:id="7" w:name="_Hlk169606599"/>
      <w:r w:rsidRPr="00C53271">
        <w:rPr>
          <w:rFonts w:eastAsia="Times New Roman" w:cs="Arial"/>
          <w:bCs/>
          <w:color w:val="000000"/>
          <w:lang w:eastAsia="it-IT"/>
        </w:rPr>
        <w:t xml:space="preserve">Glomerulonefrite a lesioni minime </w:t>
      </w:r>
    </w:p>
    <w:p w14:paraId="665B29F6" w14:textId="4A90DDCD" w:rsidR="00AA5B29" w:rsidRPr="00C53271" w:rsidRDefault="00AA5B29" w:rsidP="00AA5B29">
      <w:pPr>
        <w:pStyle w:val="Paragrafoelenco"/>
        <w:widowControl w:val="0"/>
        <w:numPr>
          <w:ilvl w:val="0"/>
          <w:numId w:val="7"/>
        </w:numPr>
        <w:tabs>
          <w:tab w:val="left" w:pos="726"/>
          <w:tab w:val="left" w:pos="727"/>
        </w:tabs>
        <w:autoSpaceDE w:val="0"/>
        <w:autoSpaceDN w:val="0"/>
        <w:spacing w:after="0" w:line="240" w:lineRule="auto"/>
        <w:contextualSpacing w:val="0"/>
        <w:jc w:val="both"/>
        <w:rPr>
          <w:rFonts w:eastAsia="Times New Roman" w:cs="Arial"/>
          <w:bCs/>
          <w:color w:val="000000"/>
          <w:lang w:eastAsia="it-IT"/>
        </w:rPr>
      </w:pPr>
      <w:r w:rsidRPr="00C53271">
        <w:rPr>
          <w:rFonts w:eastAsia="Times New Roman" w:cs="Arial"/>
          <w:bCs/>
          <w:color w:val="000000"/>
          <w:lang w:eastAsia="it-IT"/>
        </w:rPr>
        <w:t>Glomerulonefrite proliferativa-</w:t>
      </w:r>
      <w:proofErr w:type="spellStart"/>
      <w:r w:rsidRPr="00C53271">
        <w:rPr>
          <w:rFonts w:eastAsia="Times New Roman" w:cs="Arial"/>
          <w:bCs/>
          <w:color w:val="000000"/>
          <w:lang w:eastAsia="it-IT"/>
        </w:rPr>
        <w:t>extracapillare</w:t>
      </w:r>
      <w:proofErr w:type="spellEnd"/>
      <w:r w:rsidRPr="00C53271">
        <w:rPr>
          <w:rFonts w:eastAsia="Times New Roman" w:cs="Arial"/>
          <w:bCs/>
          <w:color w:val="000000"/>
          <w:lang w:eastAsia="it-IT"/>
        </w:rPr>
        <w:t xml:space="preserve"> (glomerulonefrite rapidamente progressiva) (terapia intermittente [</w:t>
      </w:r>
      <w:proofErr w:type="spellStart"/>
      <w:r w:rsidRPr="00C53271">
        <w:rPr>
          <w:rFonts w:eastAsia="Times New Roman" w:cs="Arial"/>
          <w:bCs/>
          <w:i/>
          <w:iCs/>
          <w:color w:val="000000"/>
          <w:lang w:eastAsia="it-IT"/>
        </w:rPr>
        <w:t>pulse</w:t>
      </w:r>
      <w:proofErr w:type="spellEnd"/>
      <w:r w:rsidRPr="00C53271">
        <w:rPr>
          <w:rFonts w:eastAsia="Times New Roman" w:cs="Arial"/>
          <w:bCs/>
          <w:i/>
          <w:iCs/>
          <w:color w:val="000000"/>
          <w:lang w:eastAsia="it-IT"/>
        </w:rPr>
        <w:t xml:space="preserve"> </w:t>
      </w:r>
      <w:proofErr w:type="spellStart"/>
      <w:r w:rsidRPr="00C53271">
        <w:rPr>
          <w:rFonts w:eastAsia="Times New Roman" w:cs="Arial"/>
          <w:bCs/>
          <w:i/>
          <w:iCs/>
          <w:color w:val="000000"/>
          <w:lang w:eastAsia="it-IT"/>
        </w:rPr>
        <w:t>therapy</w:t>
      </w:r>
      <w:proofErr w:type="spellEnd"/>
      <w:r w:rsidRPr="00C53271">
        <w:rPr>
          <w:rFonts w:eastAsia="Times New Roman" w:cs="Arial"/>
          <w:bCs/>
          <w:color w:val="000000"/>
          <w:lang w:eastAsia="it-IT"/>
        </w:rPr>
        <w:t xml:space="preserve">] ad alto dosaggio, di regola in associazione con agenti citostatici), nella sindrome di </w:t>
      </w:r>
      <w:proofErr w:type="spellStart"/>
      <w:r w:rsidRPr="00C53271">
        <w:rPr>
          <w:rFonts w:eastAsia="Times New Roman" w:cs="Arial"/>
          <w:bCs/>
          <w:color w:val="000000"/>
          <w:lang w:eastAsia="it-IT"/>
        </w:rPr>
        <w:t>Goodpasture</w:t>
      </w:r>
      <w:proofErr w:type="spellEnd"/>
      <w:r w:rsidRPr="00C53271">
        <w:rPr>
          <w:rFonts w:eastAsia="Times New Roman" w:cs="Arial"/>
          <w:bCs/>
          <w:color w:val="000000"/>
          <w:lang w:eastAsia="it-IT"/>
        </w:rPr>
        <w:t xml:space="preserve"> riduzione e interruzione del trattamento, in tutte le altre forme di continuazione a lungo termine della terapia </w:t>
      </w:r>
    </w:p>
    <w:p w14:paraId="665B29F8" w14:textId="313DB3BB" w:rsidR="00265B61" w:rsidRDefault="00AA5B29" w:rsidP="00313FE6">
      <w:pPr>
        <w:pStyle w:val="Paragrafoelenco"/>
        <w:widowControl w:val="0"/>
        <w:numPr>
          <w:ilvl w:val="0"/>
          <w:numId w:val="7"/>
        </w:numPr>
        <w:tabs>
          <w:tab w:val="left" w:pos="726"/>
          <w:tab w:val="left" w:pos="727"/>
        </w:tabs>
        <w:autoSpaceDE w:val="0"/>
        <w:autoSpaceDN w:val="0"/>
        <w:spacing w:after="0" w:line="240" w:lineRule="auto"/>
        <w:contextualSpacing w:val="0"/>
        <w:jc w:val="both"/>
      </w:pPr>
      <w:r w:rsidRPr="00C53271">
        <w:rPr>
          <w:rFonts w:eastAsia="Times New Roman" w:cs="Arial"/>
          <w:bCs/>
          <w:color w:val="000000"/>
          <w:lang w:eastAsia="it-IT"/>
        </w:rPr>
        <w:t xml:space="preserve">Fibrosi retroperitoneale idiopatica </w:t>
      </w:r>
      <w:bookmarkEnd w:id="7"/>
    </w:p>
    <w:p w14:paraId="665B29F9" w14:textId="77777777" w:rsidR="004E5A39" w:rsidRPr="00EF6711" w:rsidRDefault="004E5A39" w:rsidP="00EF6711">
      <w:pPr>
        <w:spacing w:after="0" w:line="240" w:lineRule="auto"/>
        <w:ind w:right="6"/>
        <w:jc w:val="both"/>
      </w:pPr>
    </w:p>
    <w:p w14:paraId="665B29FA" w14:textId="77777777" w:rsidR="004E5A39" w:rsidRPr="00EF6711" w:rsidRDefault="004E5A39" w:rsidP="00EF6711">
      <w:pPr>
        <w:spacing w:after="0" w:line="240" w:lineRule="auto"/>
        <w:ind w:right="6"/>
        <w:jc w:val="both"/>
        <w:rPr>
          <w:b/>
        </w:rPr>
      </w:pPr>
      <w:r w:rsidRPr="00EF6711">
        <w:rPr>
          <w:b/>
        </w:rPr>
        <w:t>Posologia e modalità di somministrazione</w:t>
      </w:r>
    </w:p>
    <w:p w14:paraId="665B29FB" w14:textId="2F298BFB" w:rsidR="004E5A39" w:rsidRPr="00EF6711" w:rsidRDefault="004E5A39" w:rsidP="00EF6711">
      <w:pPr>
        <w:spacing w:after="0" w:line="240" w:lineRule="auto"/>
        <w:ind w:right="6"/>
        <w:jc w:val="both"/>
        <w:rPr>
          <w:rFonts w:eastAsia="Calibri" w:cs="Calibri"/>
          <w:lang w:eastAsia="it-IT"/>
        </w:rPr>
      </w:pPr>
      <w:r w:rsidRPr="00EF6711">
        <w:t xml:space="preserve">Le informazioni sulla posologia e sulle modalità di somministrazione sono riportate nel Riassunto delle Caratteristiche del Prodotto pubblicato sul sito dell’Agenzia Italiana del Farmaco - AIFA </w:t>
      </w:r>
      <w:r w:rsidRPr="00EF6711">
        <w:rPr>
          <w:rFonts w:eastAsia="Calibri" w:cs="Calibri"/>
          <w:lang w:eastAsia="it-IT"/>
        </w:rPr>
        <w:t>(</w:t>
      </w:r>
      <w:r w:rsidR="00362238" w:rsidRPr="00362238">
        <w:t>https://medicinali.aifa.gov.it/</w:t>
      </w:r>
      <w:r w:rsidRPr="00EF6711">
        <w:rPr>
          <w:rFonts w:eastAsia="Calibri" w:cs="Calibri"/>
          <w:lang w:eastAsia="it-IT"/>
        </w:rPr>
        <w:t>).</w:t>
      </w:r>
    </w:p>
    <w:p w14:paraId="665B29FC" w14:textId="77777777" w:rsidR="004E5A39" w:rsidRPr="00EF6711" w:rsidRDefault="004E5A39" w:rsidP="00EF6711">
      <w:pPr>
        <w:spacing w:after="0" w:line="240" w:lineRule="auto"/>
        <w:ind w:right="6"/>
        <w:jc w:val="both"/>
        <w:rPr>
          <w:rFonts w:eastAsia="Calibri" w:cs="Calibri"/>
          <w:lang w:eastAsia="it-IT"/>
        </w:rPr>
      </w:pPr>
    </w:p>
    <w:p w14:paraId="665B29FD" w14:textId="77777777" w:rsidR="004E5A39" w:rsidRDefault="004E5A39" w:rsidP="00EF6711">
      <w:pPr>
        <w:spacing w:after="0" w:line="240" w:lineRule="auto"/>
        <w:ind w:right="6"/>
        <w:jc w:val="both"/>
        <w:rPr>
          <w:rFonts w:eastAsia="Calibri" w:cs="Calibri"/>
          <w:lang w:eastAsia="it-IT"/>
        </w:rPr>
      </w:pPr>
    </w:p>
    <w:p w14:paraId="30C97F89" w14:textId="77777777" w:rsidR="00436BDE" w:rsidRDefault="00436BDE" w:rsidP="00EF6711">
      <w:pPr>
        <w:spacing w:after="0" w:line="240" w:lineRule="auto"/>
        <w:ind w:right="6"/>
        <w:jc w:val="both"/>
        <w:rPr>
          <w:rFonts w:eastAsia="Calibri" w:cs="Calibri"/>
          <w:lang w:eastAsia="it-IT"/>
        </w:rPr>
      </w:pPr>
    </w:p>
    <w:p w14:paraId="34909640" w14:textId="77777777" w:rsidR="00436BDE" w:rsidRDefault="00436BDE" w:rsidP="00EF6711">
      <w:pPr>
        <w:spacing w:after="0" w:line="240" w:lineRule="auto"/>
        <w:ind w:right="6"/>
        <w:jc w:val="both"/>
        <w:rPr>
          <w:rFonts w:eastAsia="Calibri" w:cs="Calibri"/>
          <w:lang w:eastAsia="it-IT"/>
        </w:rPr>
      </w:pPr>
    </w:p>
    <w:p w14:paraId="665B29FE" w14:textId="77777777" w:rsidR="004E5A39" w:rsidRPr="006727BD" w:rsidRDefault="004E5A39" w:rsidP="00EF6711">
      <w:pPr>
        <w:spacing w:after="0" w:line="240" w:lineRule="auto"/>
        <w:ind w:right="6"/>
        <w:jc w:val="both"/>
        <w:rPr>
          <w:rFonts w:eastAsia="Times New Roman" w:cs="Times New Roman"/>
          <w:b/>
        </w:rPr>
      </w:pPr>
      <w:r w:rsidRPr="006727BD">
        <w:rPr>
          <w:rFonts w:eastAsia="Times New Roman" w:cs="Times New Roman"/>
          <w:b/>
        </w:rPr>
        <w:lastRenderedPageBreak/>
        <w:t>Farmacologia clinica</w:t>
      </w:r>
    </w:p>
    <w:p w14:paraId="665B29FF" w14:textId="0B81FB6A" w:rsidR="00AD051C" w:rsidRDefault="004E5A39" w:rsidP="00BE7CDB">
      <w:pPr>
        <w:spacing w:after="0" w:line="240" w:lineRule="auto"/>
        <w:jc w:val="both"/>
      </w:pPr>
      <w:r w:rsidRPr="006727BD">
        <w:rPr>
          <w:rFonts w:eastAsia="Calibri" w:cs="Calibri"/>
          <w:lang w:eastAsia="it-IT"/>
        </w:rPr>
        <w:t xml:space="preserve">La farmacologia clinica di </w:t>
      </w:r>
      <w:r w:rsidR="009D775A">
        <w:rPr>
          <w:rFonts w:eastAsia="Calibri" w:cs="Calibri"/>
          <w:color w:val="000000"/>
          <w:lang w:eastAsia="it-IT"/>
        </w:rPr>
        <w:t>VAPREDIS</w:t>
      </w:r>
      <w:r w:rsidR="00C56FA9">
        <w:rPr>
          <w:rFonts w:eastAsia="Calibri" w:cs="Calibri"/>
          <w:color w:val="000000"/>
          <w:lang w:eastAsia="it-IT"/>
        </w:rPr>
        <w:t xml:space="preserve"> </w:t>
      </w:r>
      <w:r w:rsidRPr="006727BD">
        <w:rPr>
          <w:rFonts w:eastAsia="Calibri" w:cs="Calibri"/>
          <w:lang w:eastAsia="it-IT"/>
        </w:rPr>
        <w:t>è ben conosciuta.</w:t>
      </w:r>
      <w:r w:rsidRPr="006727BD">
        <w:t xml:space="preserve"> </w:t>
      </w:r>
      <w:r w:rsidR="009D775A">
        <w:rPr>
          <w:rFonts w:eastAsia="Calibri" w:cs="Calibri"/>
          <w:color w:val="000000"/>
          <w:lang w:eastAsia="it-IT"/>
        </w:rPr>
        <w:t>VAPREDIS</w:t>
      </w:r>
      <w:r w:rsidR="00C56FA9">
        <w:rPr>
          <w:rFonts w:eastAsia="Calibri" w:cs="Calibri"/>
          <w:color w:val="000000"/>
          <w:lang w:eastAsia="it-IT"/>
        </w:rPr>
        <w:t xml:space="preserve"> </w:t>
      </w:r>
      <w:r w:rsidRPr="006727BD">
        <w:t>contiene principi attiv</w:t>
      </w:r>
      <w:r w:rsidR="00853EC6">
        <w:t>i</w:t>
      </w:r>
      <w:r w:rsidRPr="006727BD">
        <w:t xml:space="preserve"> not</w:t>
      </w:r>
      <w:r w:rsidR="00853EC6">
        <w:t>i</w:t>
      </w:r>
      <w:r w:rsidRPr="006727BD">
        <w:t xml:space="preserve"> </w:t>
      </w:r>
      <w:r w:rsidR="00745609">
        <w:t xml:space="preserve">e </w:t>
      </w:r>
      <w:r w:rsidRPr="006727BD">
        <w:t>present</w:t>
      </w:r>
      <w:r w:rsidR="00745609">
        <w:t>i</w:t>
      </w:r>
      <w:r w:rsidRPr="006727BD">
        <w:t xml:space="preserve"> nel medicinale </w:t>
      </w:r>
      <w:r w:rsidR="00BA0ACD" w:rsidRPr="006727BD">
        <w:t xml:space="preserve">di riferimento </w:t>
      </w:r>
      <w:r w:rsidR="00436BDE">
        <w:t>DECORTIN</w:t>
      </w:r>
      <w:r w:rsidR="00436BDE" w:rsidRPr="006727BD">
        <w:t xml:space="preserve"> </w:t>
      </w:r>
      <w:r w:rsidRPr="006727BD">
        <w:t xml:space="preserve">autorizzato in </w:t>
      </w:r>
      <w:r w:rsidR="00067BB3">
        <w:t>UE</w:t>
      </w:r>
      <w:r w:rsidRPr="006727BD">
        <w:t xml:space="preserve"> da più di </w:t>
      </w:r>
      <w:r w:rsidR="00AD051C">
        <w:t>8</w:t>
      </w:r>
      <w:r w:rsidR="00AD051C" w:rsidRPr="006727BD">
        <w:t xml:space="preserve"> </w:t>
      </w:r>
      <w:r w:rsidRPr="006727BD">
        <w:t>anni.</w:t>
      </w:r>
      <w:r w:rsidR="006727BD" w:rsidRPr="006727BD">
        <w:t xml:space="preserve"> </w:t>
      </w:r>
      <w:r w:rsidR="00BE7CDB" w:rsidRPr="006727BD">
        <w:t xml:space="preserve">Con l’eccezione dello studio di </w:t>
      </w:r>
      <w:proofErr w:type="spellStart"/>
      <w:r w:rsidR="00BE7CDB" w:rsidRPr="006727BD">
        <w:t>bioequivalenza</w:t>
      </w:r>
      <w:proofErr w:type="spellEnd"/>
      <w:r w:rsidR="00BE7CDB" w:rsidRPr="006727BD">
        <w:t>, non sono stati condotti nuovi studi clinici di farmacodinamica e farmacocinetica</w:t>
      </w:r>
      <w:r w:rsidR="00AD051C">
        <w:t>.</w:t>
      </w:r>
    </w:p>
    <w:p w14:paraId="665B2A00" w14:textId="77777777" w:rsidR="00BE7CDB" w:rsidRDefault="00BE7CDB" w:rsidP="00BE7CDB">
      <w:pPr>
        <w:spacing w:after="0" w:line="240" w:lineRule="auto"/>
        <w:jc w:val="both"/>
      </w:pPr>
    </w:p>
    <w:p w14:paraId="665B2A01" w14:textId="77777777" w:rsidR="00AD051C" w:rsidRPr="006727BD" w:rsidRDefault="00AD051C" w:rsidP="00BE7CDB">
      <w:pPr>
        <w:spacing w:after="0" w:line="240" w:lineRule="auto"/>
        <w:jc w:val="both"/>
      </w:pPr>
    </w:p>
    <w:p w14:paraId="665B2A02" w14:textId="77777777" w:rsidR="006727BD" w:rsidRPr="009F16FA" w:rsidRDefault="006727BD" w:rsidP="006727BD">
      <w:pPr>
        <w:spacing w:after="0" w:line="240" w:lineRule="auto"/>
        <w:jc w:val="both"/>
        <w:rPr>
          <w:b/>
        </w:rPr>
      </w:pPr>
      <w:r w:rsidRPr="006727BD">
        <w:rPr>
          <w:b/>
        </w:rPr>
        <w:t xml:space="preserve">Studio di </w:t>
      </w:r>
      <w:proofErr w:type="spellStart"/>
      <w:r w:rsidRPr="006727BD">
        <w:rPr>
          <w:b/>
        </w:rPr>
        <w:t>bioequivalenza</w:t>
      </w:r>
      <w:proofErr w:type="spellEnd"/>
    </w:p>
    <w:p w14:paraId="665B2A03" w14:textId="75551D22" w:rsidR="006322A5" w:rsidRPr="009F5FC7" w:rsidRDefault="006322A5" w:rsidP="006322A5">
      <w:pPr>
        <w:spacing w:after="0" w:line="240" w:lineRule="auto"/>
        <w:jc w:val="both"/>
      </w:pPr>
      <w:r w:rsidRPr="009F5FC7">
        <w:t xml:space="preserve">La richiesta di AIC è supportata da </w:t>
      </w:r>
      <w:r>
        <w:t>due</w:t>
      </w:r>
      <w:r w:rsidRPr="009F5FC7">
        <w:t xml:space="preserve"> studi di </w:t>
      </w:r>
      <w:proofErr w:type="spellStart"/>
      <w:r w:rsidRPr="009F5FC7">
        <w:t>bioequivalenza</w:t>
      </w:r>
      <w:proofErr w:type="spellEnd"/>
      <w:r w:rsidRPr="009F5FC7">
        <w:t xml:space="preserve"> che ha confrontato i profili farmacocinetici di </w:t>
      </w:r>
      <w:r w:rsidR="009D775A">
        <w:rPr>
          <w:rFonts w:eastAsia="Calibri" w:cs="Calibri"/>
          <w:color w:val="000000"/>
          <w:lang w:eastAsia="it-IT"/>
        </w:rPr>
        <w:t>VAPREDIS</w:t>
      </w:r>
      <w:r w:rsidR="000C678B">
        <w:rPr>
          <w:rFonts w:eastAsia="Calibri" w:cs="Calibri"/>
          <w:color w:val="000000"/>
          <w:lang w:eastAsia="it-IT"/>
        </w:rPr>
        <w:t xml:space="preserve"> </w:t>
      </w:r>
      <w:r w:rsidRPr="009F5FC7">
        <w:t xml:space="preserve">e quelli del medicinale </w:t>
      </w:r>
      <w:r>
        <w:t xml:space="preserve">di riferimento </w:t>
      </w:r>
      <w:proofErr w:type="spellStart"/>
      <w:r>
        <w:t>Decortin</w:t>
      </w:r>
      <w:proofErr w:type="spellEnd"/>
      <w:r>
        <w:t>.</w:t>
      </w:r>
    </w:p>
    <w:p w14:paraId="665B2A04" w14:textId="77777777" w:rsidR="006322A5" w:rsidRPr="009F5FC7" w:rsidRDefault="006322A5" w:rsidP="006322A5">
      <w:pPr>
        <w:pStyle w:val="Paragrafoelenco"/>
        <w:spacing w:after="0" w:line="240" w:lineRule="auto"/>
        <w:ind w:left="0"/>
        <w:jc w:val="both"/>
      </w:pPr>
      <w:r w:rsidRPr="009F5FC7">
        <w:t>Lo studio era caratterizzato da un appropriato disegno ed è stato condotto in accordo ai principi GCP.</w:t>
      </w:r>
    </w:p>
    <w:p w14:paraId="665B2A05" w14:textId="77777777" w:rsidR="006322A5" w:rsidRPr="009F5FC7" w:rsidRDefault="006322A5" w:rsidP="006322A5">
      <w:pPr>
        <w:pStyle w:val="Paragrafoelenco"/>
        <w:spacing w:after="0" w:line="240" w:lineRule="auto"/>
        <w:ind w:left="0"/>
        <w:jc w:val="both"/>
      </w:pPr>
      <w:r w:rsidRPr="009F5FC7">
        <w:t>Sono stati forniti certificati analitici per medicinale test e medicinale di riferimento.</w:t>
      </w:r>
    </w:p>
    <w:p w14:paraId="665B2A06" w14:textId="77777777" w:rsidR="006322A5" w:rsidRDefault="006322A5" w:rsidP="006322A5">
      <w:pPr>
        <w:spacing w:after="0" w:line="240" w:lineRule="auto"/>
        <w:jc w:val="both"/>
      </w:pPr>
      <w:r w:rsidRPr="00333936">
        <w:t>L’utilizzo de</w:t>
      </w:r>
      <w:r>
        <w:t>i</w:t>
      </w:r>
      <w:r w:rsidRPr="00333936">
        <w:t xml:space="preserve"> dosaggi</w:t>
      </w:r>
      <w:r>
        <w:t xml:space="preserve"> da 5 mg e 2</w:t>
      </w:r>
      <w:r w:rsidRPr="00333936">
        <w:t xml:space="preserve">0 mg per </w:t>
      </w:r>
      <w:r>
        <w:t>gli</w:t>
      </w:r>
      <w:r w:rsidRPr="00333936">
        <w:t xml:space="preserve"> studi di </w:t>
      </w:r>
      <w:proofErr w:type="spellStart"/>
      <w:r w:rsidRPr="00333936">
        <w:t>bioequivalenza</w:t>
      </w:r>
      <w:proofErr w:type="spellEnd"/>
      <w:r w:rsidRPr="00333936">
        <w:t xml:space="preserve"> </w:t>
      </w:r>
      <w:r>
        <w:t>sono</w:t>
      </w:r>
      <w:r w:rsidRPr="00333936">
        <w:t xml:space="preserve"> st</w:t>
      </w:r>
      <w:r>
        <w:t>ati opportunamente giustificati.</w:t>
      </w:r>
    </w:p>
    <w:p w14:paraId="665B2A07" w14:textId="77777777" w:rsidR="006322A5" w:rsidRPr="005D5D07" w:rsidRDefault="006322A5" w:rsidP="006322A5">
      <w:pPr>
        <w:spacing w:after="0" w:line="240" w:lineRule="auto"/>
        <w:jc w:val="both"/>
        <w:rPr>
          <w:rFonts w:cs="Arial"/>
        </w:rPr>
      </w:pPr>
      <w:r>
        <w:t>Gli studi</w:t>
      </w:r>
      <w:r w:rsidRPr="007469AE">
        <w:t xml:space="preserve"> di </w:t>
      </w:r>
      <w:proofErr w:type="spellStart"/>
      <w:r w:rsidRPr="007469AE">
        <w:t>bioequivalenza</w:t>
      </w:r>
      <w:proofErr w:type="spellEnd"/>
      <w:r w:rsidRPr="007469AE">
        <w:t xml:space="preserve"> </w:t>
      </w:r>
      <w:r>
        <w:t>sono studi comparativi, randomizzati</w:t>
      </w:r>
      <w:r w:rsidRPr="005D5D07">
        <w:t xml:space="preserve">, a dose singola, 2-periodi, </w:t>
      </w:r>
      <w:r w:rsidRPr="00F36FEA">
        <w:t>crossover condott</w:t>
      </w:r>
      <w:r>
        <w:t>i</w:t>
      </w:r>
      <w:r w:rsidRPr="00F36FEA">
        <w:t xml:space="preserve"> in </w:t>
      </w:r>
      <w:r>
        <w:t>36</w:t>
      </w:r>
      <w:r w:rsidRPr="00F36FEA">
        <w:t xml:space="preserve"> volontari sani di con somministrazione </w:t>
      </w:r>
      <w:r>
        <w:t xml:space="preserve">orale a stomaco pieno. </w:t>
      </w:r>
      <w:r w:rsidRPr="00F36FEA">
        <w:t xml:space="preserve">Un soddisfacente periodo di wash-out di </w:t>
      </w:r>
      <w:r>
        <w:rPr>
          <w:rFonts w:cs="Arial"/>
        </w:rPr>
        <w:t xml:space="preserve">7 </w:t>
      </w:r>
      <w:r w:rsidRPr="00F36FEA">
        <w:rPr>
          <w:rFonts w:cs="Arial"/>
        </w:rPr>
        <w:t>giorni è stato previsto tra le somministrazioni in ogni gruppo.</w:t>
      </w:r>
    </w:p>
    <w:p w14:paraId="665B2A08" w14:textId="77777777" w:rsidR="006322A5" w:rsidRPr="009F5FC7" w:rsidRDefault="006322A5" w:rsidP="006322A5">
      <w:pPr>
        <w:spacing w:after="0" w:line="240" w:lineRule="auto"/>
        <w:jc w:val="both"/>
        <w:rPr>
          <w:rFonts w:cs="Arial"/>
        </w:rPr>
      </w:pPr>
      <w:r w:rsidRPr="009F5FC7">
        <w:rPr>
          <w:rFonts w:cs="Arial"/>
        </w:rPr>
        <w:t>Campioni di sangue sono stati prelevati al tempo zero (</w:t>
      </w:r>
      <w:proofErr w:type="spellStart"/>
      <w:r w:rsidRPr="009F5FC7">
        <w:rPr>
          <w:rFonts w:cs="Arial"/>
        </w:rPr>
        <w:t>pre</w:t>
      </w:r>
      <w:proofErr w:type="spellEnd"/>
      <w:r w:rsidRPr="009F5FC7">
        <w:rPr>
          <w:rFonts w:cs="Arial"/>
        </w:rPr>
        <w:t xml:space="preserve">-dose) e a specificati tempi fino a </w:t>
      </w:r>
      <w:r>
        <w:rPr>
          <w:rFonts w:cs="Arial"/>
        </w:rPr>
        <w:t>24</w:t>
      </w:r>
      <w:r w:rsidRPr="009F5FC7">
        <w:rPr>
          <w:rFonts w:cs="Arial"/>
        </w:rPr>
        <w:t xml:space="preserve"> ore dopo la somministrazione. I livelli plasmatici di </w:t>
      </w:r>
      <w:r>
        <w:rPr>
          <w:rFonts w:cs="Arial"/>
        </w:rPr>
        <w:t>prednisone</w:t>
      </w:r>
      <w:r w:rsidRPr="009F5FC7">
        <w:rPr>
          <w:rFonts w:cs="Arial"/>
        </w:rPr>
        <w:t xml:space="preserve"> sono stati determinati mediante un metodo analitico </w:t>
      </w:r>
      <w:r w:rsidRPr="00894064">
        <w:rPr>
          <w:rFonts w:cs="Arial"/>
        </w:rPr>
        <w:t>HPLC-MS-MS</w:t>
      </w:r>
      <w:r w:rsidRPr="009F5FC7">
        <w:rPr>
          <w:rFonts w:cs="Arial"/>
        </w:rPr>
        <w:t xml:space="preserve"> opportunamente convalidato.</w:t>
      </w:r>
    </w:p>
    <w:p w14:paraId="665B2A09" w14:textId="2F1C650D" w:rsidR="006322A5" w:rsidRPr="009F5FC7" w:rsidRDefault="006322A5" w:rsidP="006322A5">
      <w:pPr>
        <w:pStyle w:val="Paragrafoelenco"/>
        <w:spacing w:after="0" w:line="240" w:lineRule="auto"/>
        <w:ind w:left="0"/>
        <w:jc w:val="both"/>
        <w:rPr>
          <w:rFonts w:cs="Arial"/>
        </w:rPr>
      </w:pPr>
      <w:r>
        <w:rPr>
          <w:rFonts w:cs="Arial"/>
        </w:rPr>
        <w:t xml:space="preserve">Per prednisone sono state definite le seguenti </w:t>
      </w:r>
      <w:r w:rsidRPr="009F5FC7">
        <w:rPr>
          <w:rFonts w:cs="Arial"/>
        </w:rPr>
        <w:t xml:space="preserve">variabili farmacocinetiche: </w:t>
      </w:r>
      <w:proofErr w:type="spellStart"/>
      <w:r w:rsidRPr="009F5FC7">
        <w:rPr>
          <w:rFonts w:cs="Arial"/>
        </w:rPr>
        <w:t>C</w:t>
      </w:r>
      <w:r w:rsidRPr="009F5FC7">
        <w:rPr>
          <w:rFonts w:cs="Arial"/>
          <w:vertAlign w:val="subscript"/>
        </w:rPr>
        <w:t>max</w:t>
      </w:r>
      <w:proofErr w:type="spellEnd"/>
      <w:r w:rsidRPr="009F5FC7">
        <w:rPr>
          <w:rFonts w:cs="Arial"/>
        </w:rPr>
        <w:t>, AUC</w:t>
      </w:r>
      <w:r w:rsidRPr="009F5FC7">
        <w:rPr>
          <w:rFonts w:cs="Arial"/>
          <w:vertAlign w:val="subscript"/>
        </w:rPr>
        <w:t>0-t</w:t>
      </w:r>
      <w:r w:rsidRPr="009F5FC7">
        <w:rPr>
          <w:rFonts w:cs="Arial"/>
        </w:rPr>
        <w:t>,, AUC</w:t>
      </w:r>
      <w:r w:rsidRPr="009F5FC7">
        <w:rPr>
          <w:rFonts w:cs="Arial"/>
          <w:vertAlign w:val="subscript"/>
        </w:rPr>
        <w:t>0-</w:t>
      </w:r>
      <w:r w:rsidRPr="009F5FC7">
        <w:rPr>
          <w:rFonts w:cs="Arial"/>
          <w:vertAlign w:val="subscript"/>
          <w:lang w:val="en-GB"/>
        </w:rPr>
        <w:sym w:font="Symbol" w:char="00A5"/>
      </w:r>
      <w:r w:rsidRPr="009F5FC7">
        <w:rPr>
          <w:rFonts w:cs="Arial"/>
        </w:rPr>
        <w:t xml:space="preserve">, </w:t>
      </w:r>
      <w:proofErr w:type="spellStart"/>
      <w:r w:rsidRPr="009F5FC7">
        <w:rPr>
          <w:rFonts w:cs="Arial"/>
        </w:rPr>
        <w:t>t</w:t>
      </w:r>
      <w:r w:rsidRPr="009F5FC7">
        <w:rPr>
          <w:rFonts w:cs="Arial"/>
          <w:vertAlign w:val="subscript"/>
        </w:rPr>
        <w:t>max</w:t>
      </w:r>
      <w:proofErr w:type="spellEnd"/>
      <w:r w:rsidRPr="009F5FC7">
        <w:rPr>
          <w:rFonts w:cs="Arial"/>
        </w:rPr>
        <w:t xml:space="preserve">, t½ e AUC estrapolata. La </w:t>
      </w:r>
      <w:proofErr w:type="spellStart"/>
      <w:r w:rsidRPr="009F5FC7">
        <w:rPr>
          <w:rFonts w:cs="Arial"/>
        </w:rPr>
        <w:t>bioequivalenza</w:t>
      </w:r>
      <w:proofErr w:type="spellEnd"/>
      <w:r w:rsidRPr="009F5FC7">
        <w:rPr>
          <w:rFonts w:cs="Arial"/>
        </w:rPr>
        <w:t xml:space="preserve"> tra medicinale test e medicinale di riferimento è dimostrata se gli intervalli di confidenza al 90% per la trasformata logaritmica di </w:t>
      </w:r>
      <w:proofErr w:type="spellStart"/>
      <w:r w:rsidRPr="009F5FC7">
        <w:rPr>
          <w:rFonts w:cs="Arial"/>
        </w:rPr>
        <w:t>C</w:t>
      </w:r>
      <w:r w:rsidRPr="009F5FC7">
        <w:rPr>
          <w:rFonts w:cs="Arial"/>
          <w:vertAlign w:val="subscript"/>
        </w:rPr>
        <w:t>max</w:t>
      </w:r>
      <w:proofErr w:type="spellEnd"/>
      <w:r w:rsidRPr="009F5FC7">
        <w:rPr>
          <w:rFonts w:cs="Arial"/>
        </w:rPr>
        <w:t xml:space="preserve"> e AUC</w:t>
      </w:r>
      <w:r w:rsidRPr="009F5FC7">
        <w:rPr>
          <w:rFonts w:cs="Arial"/>
          <w:vertAlign w:val="subscript"/>
        </w:rPr>
        <w:t>0-t</w:t>
      </w:r>
      <w:r w:rsidRPr="009F5FC7">
        <w:rPr>
          <w:rFonts w:cs="Arial"/>
        </w:rPr>
        <w:t xml:space="preserve">, cadono nel </w:t>
      </w:r>
      <w:proofErr w:type="spellStart"/>
      <w:r w:rsidRPr="009F5FC7">
        <w:rPr>
          <w:rFonts w:cs="Arial"/>
        </w:rPr>
        <w:t>range</w:t>
      </w:r>
      <w:proofErr w:type="spellEnd"/>
      <w:r w:rsidRPr="009F5FC7">
        <w:rPr>
          <w:rFonts w:cs="Arial"/>
        </w:rPr>
        <w:t xml:space="preserve"> di accettabilità di 0.80-1.25 (80%-125%).</w:t>
      </w:r>
    </w:p>
    <w:p w14:paraId="665B2A0A" w14:textId="77777777" w:rsidR="006322A5" w:rsidRPr="009F5FC7" w:rsidRDefault="006322A5" w:rsidP="006322A5">
      <w:pPr>
        <w:pStyle w:val="Paragrafoelenco"/>
        <w:spacing w:after="0" w:line="240" w:lineRule="auto"/>
        <w:ind w:left="0"/>
        <w:jc w:val="both"/>
      </w:pPr>
    </w:p>
    <w:p w14:paraId="665B2A0B" w14:textId="77777777" w:rsidR="006322A5" w:rsidRPr="009F5FC7" w:rsidRDefault="006322A5" w:rsidP="006322A5">
      <w:pPr>
        <w:pStyle w:val="Paragrafoelenco"/>
        <w:spacing w:after="0" w:line="240" w:lineRule="auto"/>
        <w:ind w:left="0"/>
        <w:jc w:val="both"/>
        <w:rPr>
          <w:u w:val="single"/>
        </w:rPr>
      </w:pPr>
      <w:r w:rsidRPr="009F5FC7">
        <w:rPr>
          <w:u w:val="single"/>
        </w:rPr>
        <w:t>Risultati</w:t>
      </w:r>
    </w:p>
    <w:p w14:paraId="665B2A0C" w14:textId="77777777" w:rsidR="006322A5" w:rsidRPr="009F5FC7" w:rsidRDefault="006322A5" w:rsidP="006322A5">
      <w:pPr>
        <w:pStyle w:val="Paragrafoelenco"/>
        <w:spacing w:after="0" w:line="240" w:lineRule="auto"/>
        <w:ind w:left="0"/>
        <w:jc w:val="both"/>
        <w:rPr>
          <w:rFonts w:cs="Arial"/>
        </w:rPr>
      </w:pPr>
      <w:r>
        <w:rPr>
          <w:rFonts w:cs="Arial"/>
        </w:rPr>
        <w:t xml:space="preserve">36 </w:t>
      </w:r>
      <w:r w:rsidRPr="009F5FC7">
        <w:rPr>
          <w:rFonts w:cs="Arial"/>
        </w:rPr>
        <w:t>volontari sani sono stati arruolati ne</w:t>
      </w:r>
      <w:r>
        <w:rPr>
          <w:rFonts w:cs="Arial"/>
        </w:rPr>
        <w:t>gli studi</w:t>
      </w:r>
      <w:r w:rsidRPr="009F5FC7">
        <w:rPr>
          <w:rFonts w:cs="Arial"/>
        </w:rPr>
        <w:t xml:space="preserve">. </w:t>
      </w:r>
      <w:r>
        <w:rPr>
          <w:rFonts w:cs="Arial"/>
        </w:rPr>
        <w:t>34</w:t>
      </w:r>
      <w:r w:rsidRPr="009F5FC7">
        <w:rPr>
          <w:rFonts w:cs="Arial"/>
        </w:rPr>
        <w:t xml:space="preserve"> </w:t>
      </w:r>
      <w:r>
        <w:rPr>
          <w:rFonts w:cs="Arial"/>
        </w:rPr>
        <w:t xml:space="preserve">e 36 </w:t>
      </w:r>
      <w:r w:rsidRPr="009F5FC7">
        <w:rPr>
          <w:rFonts w:cs="Arial"/>
        </w:rPr>
        <w:t xml:space="preserve">soggetti </w:t>
      </w:r>
      <w:r w:rsidRPr="009F5FC7">
        <w:t xml:space="preserve">hanno completato la fase clinica e </w:t>
      </w:r>
      <w:r w:rsidRPr="009F5FC7">
        <w:rPr>
          <w:rFonts w:cs="Arial"/>
        </w:rPr>
        <w:t>sono stati inclusi nell’analisi farmacocinetica</w:t>
      </w:r>
      <w:r>
        <w:rPr>
          <w:rFonts w:cs="Arial"/>
        </w:rPr>
        <w:t>, rispettivamente</w:t>
      </w:r>
      <w:r w:rsidRPr="009F5FC7">
        <w:rPr>
          <w:rFonts w:cs="Arial"/>
        </w:rPr>
        <w:t>.</w:t>
      </w:r>
    </w:p>
    <w:p w14:paraId="665B2A0D" w14:textId="77777777" w:rsidR="006322A5" w:rsidRPr="009F5FC7" w:rsidRDefault="006322A5" w:rsidP="006322A5">
      <w:pPr>
        <w:pStyle w:val="Didascalia"/>
        <w:keepNext/>
        <w:spacing w:before="0" w:after="0"/>
        <w:jc w:val="both"/>
        <w:outlineLvl w:val="0"/>
        <w:rPr>
          <w:rFonts w:ascii="Calibri" w:hAnsi="Calibri" w:cs="Arial"/>
          <w:b w:val="0"/>
          <w:i/>
          <w:sz w:val="22"/>
          <w:szCs w:val="22"/>
          <w:lang w:val="it-IT"/>
        </w:rPr>
      </w:pPr>
    </w:p>
    <w:p w14:paraId="665B2A0E" w14:textId="77777777" w:rsidR="006322A5" w:rsidRPr="009F5FC7" w:rsidRDefault="006322A5" w:rsidP="006322A5">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i/>
          <w:sz w:val="22"/>
          <w:szCs w:val="22"/>
          <w:lang w:val="it-IT"/>
        </w:rPr>
        <w:t>Sicurezza</w:t>
      </w:r>
    </w:p>
    <w:p w14:paraId="665B2A0F" w14:textId="77777777" w:rsidR="006322A5" w:rsidRPr="009F5FC7" w:rsidRDefault="006322A5" w:rsidP="006322A5">
      <w:pPr>
        <w:autoSpaceDE w:val="0"/>
        <w:autoSpaceDN w:val="0"/>
        <w:adjustRightInd w:val="0"/>
        <w:spacing w:after="0" w:line="240" w:lineRule="auto"/>
        <w:jc w:val="both"/>
        <w:rPr>
          <w:rFonts w:cs="Arial"/>
          <w:b/>
        </w:rPr>
      </w:pPr>
      <w:r>
        <w:rPr>
          <w:rFonts w:cs="Arial"/>
        </w:rPr>
        <w:t>Nel corso degli studi</w:t>
      </w:r>
      <w:r w:rsidRPr="009F5FC7">
        <w:rPr>
          <w:rFonts w:cs="Arial"/>
        </w:rPr>
        <w:t xml:space="preserve">, </w:t>
      </w:r>
      <w:r>
        <w:rPr>
          <w:rFonts w:cs="Arial"/>
        </w:rPr>
        <w:t xml:space="preserve">si sono manifestati </w:t>
      </w:r>
      <w:r>
        <w:t>degli eventi</w:t>
      </w:r>
      <w:r w:rsidRPr="009F5FC7">
        <w:t xml:space="preserve"> avvers</w:t>
      </w:r>
      <w:r>
        <w:t>i</w:t>
      </w:r>
      <w:r w:rsidRPr="009F5FC7">
        <w:t xml:space="preserve"> </w:t>
      </w:r>
      <w:r>
        <w:rPr>
          <w:rFonts w:cs="Arial"/>
        </w:rPr>
        <w:t>correlati</w:t>
      </w:r>
      <w:r w:rsidRPr="009F5FC7">
        <w:rPr>
          <w:rFonts w:cs="Arial"/>
        </w:rPr>
        <w:t xml:space="preserve"> al trattamento</w:t>
      </w:r>
      <w:r w:rsidRPr="009F5FC7">
        <w:t xml:space="preserve">. </w:t>
      </w:r>
      <w:r w:rsidRPr="009F5FC7">
        <w:rPr>
          <w:rFonts w:cs="Arial"/>
        </w:rPr>
        <w:t>In particolare,</w:t>
      </w:r>
      <w:r>
        <w:rPr>
          <w:rFonts w:cs="Arial"/>
        </w:rPr>
        <w:t xml:space="preserve"> è</w:t>
      </w:r>
      <w:r w:rsidRPr="009F5FC7">
        <w:rPr>
          <w:rFonts w:cs="Arial"/>
        </w:rPr>
        <w:t xml:space="preserve"> </w:t>
      </w:r>
      <w:r>
        <w:rPr>
          <w:rFonts w:cs="Arial"/>
        </w:rPr>
        <w:t xml:space="preserve">stata </w:t>
      </w:r>
      <w:r w:rsidRPr="009F5FC7">
        <w:rPr>
          <w:rFonts w:cs="Arial"/>
        </w:rPr>
        <w:t>riscontrat</w:t>
      </w:r>
      <w:r>
        <w:rPr>
          <w:rFonts w:cs="Arial"/>
        </w:rPr>
        <w:t>a</w:t>
      </w:r>
      <w:r w:rsidRPr="009F5FC7">
        <w:rPr>
          <w:rFonts w:cs="Arial"/>
        </w:rPr>
        <w:t xml:space="preserve"> </w:t>
      </w:r>
      <w:r>
        <w:t xml:space="preserve">dolore oculare, iperemia oculare, mal di testa e dolore addominale superiore. </w:t>
      </w:r>
      <w:r w:rsidRPr="009F5FC7">
        <w:rPr>
          <w:rFonts w:cs="Arial"/>
        </w:rPr>
        <w:t>Non sono stati rilevati eventi avversi gravi.</w:t>
      </w:r>
    </w:p>
    <w:p w14:paraId="665B2A10" w14:textId="77777777" w:rsidR="006322A5" w:rsidRPr="009F5FC7" w:rsidRDefault="006322A5" w:rsidP="006322A5">
      <w:pPr>
        <w:spacing w:after="0" w:line="240" w:lineRule="auto"/>
      </w:pPr>
    </w:p>
    <w:p w14:paraId="665B2A11" w14:textId="77777777" w:rsidR="006322A5" w:rsidRPr="009F5FC7" w:rsidRDefault="006322A5" w:rsidP="006322A5">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i/>
          <w:sz w:val="22"/>
          <w:szCs w:val="22"/>
          <w:lang w:val="it-IT"/>
        </w:rPr>
        <w:t>Parametri farmacocinetici</w:t>
      </w:r>
      <w:r w:rsidRPr="009F5FC7">
        <w:rPr>
          <w:rFonts w:ascii="Calibri" w:hAnsi="Calibri" w:cs="Arial"/>
          <w:b w:val="0"/>
          <w:sz w:val="22"/>
          <w:szCs w:val="22"/>
          <w:lang w:val="it-IT"/>
        </w:rPr>
        <w:t xml:space="preserve">. </w:t>
      </w:r>
    </w:p>
    <w:p w14:paraId="665B2A12" w14:textId="77777777" w:rsidR="006322A5" w:rsidRPr="009F5FC7" w:rsidRDefault="006322A5" w:rsidP="006322A5">
      <w:pPr>
        <w:pStyle w:val="Didascalia"/>
        <w:keepNext/>
        <w:spacing w:before="0" w:after="0"/>
        <w:jc w:val="both"/>
        <w:outlineLvl w:val="0"/>
        <w:rPr>
          <w:rFonts w:ascii="Calibri" w:hAnsi="Calibri" w:cs="Arial"/>
          <w:b w:val="0"/>
          <w:sz w:val="22"/>
          <w:szCs w:val="22"/>
          <w:lang w:val="it-IT"/>
        </w:rPr>
      </w:pPr>
      <w:r w:rsidRPr="009F5FC7">
        <w:rPr>
          <w:rFonts w:ascii="Calibri" w:hAnsi="Calibri" w:cs="Arial"/>
          <w:b w:val="0"/>
          <w:sz w:val="22"/>
          <w:szCs w:val="22"/>
          <w:lang w:val="it-IT"/>
        </w:rPr>
        <w:t>La sintesi dei risultati de</w:t>
      </w:r>
      <w:r>
        <w:rPr>
          <w:rFonts w:ascii="Calibri" w:hAnsi="Calibri" w:cs="Arial"/>
          <w:b w:val="0"/>
          <w:sz w:val="22"/>
          <w:szCs w:val="22"/>
          <w:lang w:val="it-IT"/>
        </w:rPr>
        <w:t>gli studi</w:t>
      </w:r>
      <w:r w:rsidRPr="009F5FC7">
        <w:rPr>
          <w:rFonts w:ascii="Calibri" w:hAnsi="Calibri" w:cs="Arial"/>
          <w:b w:val="0"/>
          <w:sz w:val="22"/>
          <w:szCs w:val="22"/>
          <w:lang w:val="it-IT"/>
        </w:rPr>
        <w:t xml:space="preserve"> di </w:t>
      </w:r>
      <w:proofErr w:type="spellStart"/>
      <w:r w:rsidRPr="009F5FC7">
        <w:rPr>
          <w:rFonts w:ascii="Calibri" w:hAnsi="Calibri" w:cs="Arial"/>
          <w:b w:val="0"/>
          <w:sz w:val="22"/>
          <w:szCs w:val="22"/>
          <w:lang w:val="it-IT"/>
        </w:rPr>
        <w:t>bioequivalenza</w:t>
      </w:r>
      <w:proofErr w:type="spellEnd"/>
      <w:r w:rsidRPr="009F5FC7">
        <w:rPr>
          <w:rFonts w:ascii="Calibri" w:hAnsi="Calibri" w:cs="Arial"/>
          <w:b w:val="0"/>
          <w:sz w:val="22"/>
          <w:szCs w:val="22"/>
          <w:lang w:val="it-IT"/>
        </w:rPr>
        <w:t xml:space="preserve"> è riportata nella tabella che segue.</w:t>
      </w:r>
    </w:p>
    <w:p w14:paraId="665B2A13" w14:textId="77777777" w:rsidR="006322A5" w:rsidRDefault="006322A5" w:rsidP="006322A5">
      <w:pPr>
        <w:pStyle w:val="Paragrafoelenco"/>
        <w:spacing w:after="0" w:line="240" w:lineRule="auto"/>
        <w:ind w:left="0"/>
        <w:jc w:val="both"/>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6322A5" w:rsidRPr="00193C36" w14:paraId="665B2A15" w14:textId="77777777" w:rsidTr="00F9785A">
        <w:trPr>
          <w:jc w:val="center"/>
        </w:trPr>
        <w:tc>
          <w:tcPr>
            <w:tcW w:w="8136" w:type="dxa"/>
            <w:gridSpan w:val="5"/>
            <w:shd w:val="clear" w:color="auto" w:fill="auto"/>
            <w:vAlign w:val="bottom"/>
          </w:tcPr>
          <w:p w14:paraId="665B2A14" w14:textId="77777777" w:rsidR="006322A5" w:rsidRPr="00193C36" w:rsidRDefault="006322A5" w:rsidP="00F9785A">
            <w:pPr>
              <w:spacing w:after="0" w:line="240" w:lineRule="auto"/>
              <w:jc w:val="center"/>
              <w:rPr>
                <w:b/>
                <w:bCs/>
                <w:sz w:val="20"/>
                <w:szCs w:val="20"/>
              </w:rPr>
            </w:pPr>
            <w:r>
              <w:rPr>
                <w:b/>
                <w:bCs/>
                <w:sz w:val="20"/>
                <w:szCs w:val="20"/>
              </w:rPr>
              <w:t>Prednisone 5 mg</w:t>
            </w:r>
          </w:p>
        </w:tc>
      </w:tr>
      <w:tr w:rsidR="006322A5" w:rsidRPr="00193C36" w14:paraId="665B2A1B" w14:textId="77777777" w:rsidTr="00F9785A">
        <w:trPr>
          <w:jc w:val="center"/>
        </w:trPr>
        <w:tc>
          <w:tcPr>
            <w:tcW w:w="1556" w:type="dxa"/>
            <w:vAlign w:val="bottom"/>
          </w:tcPr>
          <w:p w14:paraId="665B2A16" w14:textId="77777777" w:rsidR="006322A5" w:rsidRPr="00193C36" w:rsidRDefault="006322A5" w:rsidP="00F9785A">
            <w:pPr>
              <w:spacing w:after="0" w:line="240" w:lineRule="auto"/>
              <w:jc w:val="center"/>
              <w:rPr>
                <w:b/>
                <w:sz w:val="20"/>
                <w:szCs w:val="20"/>
              </w:rPr>
            </w:pPr>
            <w:r w:rsidRPr="00193C36">
              <w:rPr>
                <w:b/>
                <w:sz w:val="20"/>
                <w:szCs w:val="20"/>
              </w:rPr>
              <w:t>Parametro</w:t>
            </w:r>
          </w:p>
        </w:tc>
        <w:tc>
          <w:tcPr>
            <w:tcW w:w="1655" w:type="dxa"/>
            <w:vAlign w:val="bottom"/>
          </w:tcPr>
          <w:p w14:paraId="665B2A17" w14:textId="77777777" w:rsidR="006322A5" w:rsidRPr="00193C36" w:rsidRDefault="006322A5" w:rsidP="00F9785A">
            <w:pPr>
              <w:spacing w:after="0" w:line="240" w:lineRule="auto"/>
              <w:jc w:val="center"/>
              <w:rPr>
                <w:b/>
                <w:sz w:val="20"/>
                <w:szCs w:val="20"/>
              </w:rPr>
            </w:pPr>
            <w:r w:rsidRPr="00193C36">
              <w:rPr>
                <w:b/>
                <w:sz w:val="20"/>
                <w:szCs w:val="20"/>
              </w:rPr>
              <w:t>Test</w:t>
            </w:r>
          </w:p>
        </w:tc>
        <w:tc>
          <w:tcPr>
            <w:tcW w:w="1635" w:type="dxa"/>
            <w:vAlign w:val="bottom"/>
          </w:tcPr>
          <w:p w14:paraId="665B2A18" w14:textId="77777777" w:rsidR="006322A5" w:rsidRPr="00193C36" w:rsidRDefault="006322A5" w:rsidP="00F9785A">
            <w:pPr>
              <w:spacing w:after="0" w:line="240" w:lineRule="auto"/>
              <w:jc w:val="center"/>
              <w:rPr>
                <w:b/>
                <w:sz w:val="20"/>
                <w:szCs w:val="20"/>
              </w:rPr>
            </w:pPr>
            <w:r w:rsidRPr="00193C36">
              <w:rPr>
                <w:b/>
                <w:sz w:val="20"/>
                <w:szCs w:val="20"/>
              </w:rPr>
              <w:t>Reference</w:t>
            </w:r>
          </w:p>
        </w:tc>
        <w:tc>
          <w:tcPr>
            <w:tcW w:w="1574" w:type="dxa"/>
            <w:vAlign w:val="bottom"/>
          </w:tcPr>
          <w:p w14:paraId="665B2A19" w14:textId="77777777" w:rsidR="006322A5" w:rsidRPr="00193C36" w:rsidRDefault="006322A5" w:rsidP="00F9785A">
            <w:pPr>
              <w:spacing w:after="0" w:line="240" w:lineRule="auto"/>
              <w:jc w:val="center"/>
              <w:rPr>
                <w:b/>
                <w:sz w:val="20"/>
                <w:szCs w:val="20"/>
              </w:rPr>
            </w:pPr>
            <w:r w:rsidRPr="00193C36">
              <w:rPr>
                <w:b/>
                <w:sz w:val="20"/>
                <w:szCs w:val="20"/>
              </w:rPr>
              <w:t>T/R Ratio</w:t>
            </w:r>
          </w:p>
        </w:tc>
        <w:tc>
          <w:tcPr>
            <w:tcW w:w="1716" w:type="dxa"/>
            <w:vAlign w:val="bottom"/>
          </w:tcPr>
          <w:p w14:paraId="665B2A1A" w14:textId="77777777" w:rsidR="006322A5" w:rsidRPr="00193C36" w:rsidRDefault="006322A5" w:rsidP="00F9785A">
            <w:pPr>
              <w:spacing w:after="0" w:line="240" w:lineRule="auto"/>
              <w:jc w:val="center"/>
              <w:rPr>
                <w:b/>
                <w:sz w:val="20"/>
                <w:szCs w:val="20"/>
              </w:rPr>
            </w:pPr>
            <w:r w:rsidRPr="00193C36">
              <w:rPr>
                <w:b/>
                <w:sz w:val="20"/>
                <w:szCs w:val="20"/>
              </w:rPr>
              <w:t>90% C.I.</w:t>
            </w:r>
          </w:p>
        </w:tc>
      </w:tr>
      <w:tr w:rsidR="006322A5" w:rsidRPr="00193C36" w14:paraId="665B2A21" w14:textId="77777777" w:rsidTr="00F9785A">
        <w:trPr>
          <w:jc w:val="center"/>
        </w:trPr>
        <w:tc>
          <w:tcPr>
            <w:tcW w:w="1556" w:type="dxa"/>
            <w:vAlign w:val="bottom"/>
          </w:tcPr>
          <w:p w14:paraId="665B2A1C" w14:textId="77777777" w:rsidR="006322A5" w:rsidRPr="00193C36" w:rsidRDefault="006322A5" w:rsidP="00F9785A">
            <w:pPr>
              <w:spacing w:after="0" w:line="240" w:lineRule="auto"/>
              <w:rPr>
                <w:b/>
                <w:sz w:val="20"/>
                <w:szCs w:val="20"/>
              </w:rPr>
            </w:pPr>
            <w:r w:rsidRPr="00193C36">
              <w:rPr>
                <w:b/>
                <w:sz w:val="20"/>
                <w:szCs w:val="20"/>
              </w:rPr>
              <w:t>AUC0-t</w:t>
            </w:r>
          </w:p>
        </w:tc>
        <w:tc>
          <w:tcPr>
            <w:tcW w:w="1655" w:type="dxa"/>
            <w:vAlign w:val="bottom"/>
          </w:tcPr>
          <w:p w14:paraId="665B2A1D" w14:textId="77777777" w:rsidR="006322A5" w:rsidRPr="00007AFB" w:rsidRDefault="006322A5" w:rsidP="00F9785A">
            <w:pPr>
              <w:spacing w:after="0" w:line="240" w:lineRule="auto"/>
              <w:jc w:val="center"/>
              <w:rPr>
                <w:sz w:val="20"/>
                <w:szCs w:val="20"/>
              </w:rPr>
            </w:pPr>
            <w:r w:rsidRPr="00007AFB">
              <w:rPr>
                <w:sz w:val="20"/>
                <w:szCs w:val="20"/>
              </w:rPr>
              <w:t>132.67</w:t>
            </w:r>
          </w:p>
        </w:tc>
        <w:tc>
          <w:tcPr>
            <w:tcW w:w="1635" w:type="dxa"/>
            <w:vAlign w:val="bottom"/>
          </w:tcPr>
          <w:p w14:paraId="665B2A1E" w14:textId="77777777" w:rsidR="006322A5" w:rsidRPr="00007AFB" w:rsidRDefault="006322A5" w:rsidP="00F9785A">
            <w:pPr>
              <w:spacing w:after="0" w:line="240" w:lineRule="auto"/>
              <w:jc w:val="center"/>
              <w:rPr>
                <w:sz w:val="20"/>
                <w:szCs w:val="20"/>
              </w:rPr>
            </w:pPr>
            <w:r w:rsidRPr="00007AFB">
              <w:rPr>
                <w:sz w:val="20"/>
                <w:szCs w:val="20"/>
                <w:lang w:eastAsia="it-IT"/>
              </w:rPr>
              <w:t>128.69</w:t>
            </w:r>
          </w:p>
        </w:tc>
        <w:tc>
          <w:tcPr>
            <w:tcW w:w="1574" w:type="dxa"/>
            <w:vAlign w:val="bottom"/>
          </w:tcPr>
          <w:p w14:paraId="665B2A1F" w14:textId="77777777" w:rsidR="006322A5" w:rsidRPr="00007AFB" w:rsidRDefault="006322A5" w:rsidP="00F9785A">
            <w:pPr>
              <w:spacing w:after="0" w:line="240" w:lineRule="auto"/>
              <w:jc w:val="center"/>
              <w:rPr>
                <w:sz w:val="20"/>
                <w:szCs w:val="20"/>
              </w:rPr>
            </w:pPr>
            <w:r w:rsidRPr="00007AFB">
              <w:rPr>
                <w:sz w:val="20"/>
                <w:szCs w:val="20"/>
              </w:rPr>
              <w:t>103.10</w:t>
            </w:r>
          </w:p>
        </w:tc>
        <w:tc>
          <w:tcPr>
            <w:tcW w:w="1716" w:type="dxa"/>
            <w:vAlign w:val="bottom"/>
          </w:tcPr>
          <w:p w14:paraId="665B2A20" w14:textId="77777777" w:rsidR="006322A5" w:rsidRPr="00007AFB" w:rsidRDefault="006322A5" w:rsidP="00F9785A">
            <w:pPr>
              <w:spacing w:after="0" w:line="240" w:lineRule="auto"/>
              <w:jc w:val="center"/>
              <w:rPr>
                <w:sz w:val="20"/>
                <w:szCs w:val="20"/>
              </w:rPr>
            </w:pPr>
            <w:r w:rsidRPr="00007AFB">
              <w:rPr>
                <w:sz w:val="20"/>
                <w:szCs w:val="20"/>
              </w:rPr>
              <w:t>99.83 - 106.47</w:t>
            </w:r>
          </w:p>
        </w:tc>
      </w:tr>
      <w:tr w:rsidR="006322A5" w:rsidRPr="00193C36" w14:paraId="665B2A27" w14:textId="77777777" w:rsidTr="00F9785A">
        <w:trPr>
          <w:jc w:val="center"/>
        </w:trPr>
        <w:tc>
          <w:tcPr>
            <w:tcW w:w="1556" w:type="dxa"/>
            <w:vAlign w:val="bottom"/>
          </w:tcPr>
          <w:p w14:paraId="665B2A22" w14:textId="77777777" w:rsidR="006322A5" w:rsidRPr="00193C36" w:rsidRDefault="006322A5" w:rsidP="00F9785A">
            <w:pPr>
              <w:spacing w:after="0" w:line="240" w:lineRule="auto"/>
              <w:rPr>
                <w:b/>
                <w:sz w:val="20"/>
                <w:szCs w:val="20"/>
              </w:rPr>
            </w:pPr>
            <w:r w:rsidRPr="00193C36">
              <w:rPr>
                <w:b/>
                <w:sz w:val="20"/>
                <w:szCs w:val="20"/>
              </w:rPr>
              <w:t>AUC0-∞</w:t>
            </w:r>
          </w:p>
        </w:tc>
        <w:tc>
          <w:tcPr>
            <w:tcW w:w="1655" w:type="dxa"/>
            <w:vAlign w:val="bottom"/>
          </w:tcPr>
          <w:p w14:paraId="665B2A23"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140.32</w:t>
            </w:r>
          </w:p>
        </w:tc>
        <w:tc>
          <w:tcPr>
            <w:tcW w:w="1635" w:type="dxa"/>
            <w:vAlign w:val="bottom"/>
          </w:tcPr>
          <w:p w14:paraId="665B2A24" w14:textId="77777777" w:rsidR="006322A5" w:rsidRPr="00007AFB" w:rsidRDefault="006322A5" w:rsidP="00F9785A">
            <w:pPr>
              <w:spacing w:after="0"/>
              <w:jc w:val="center"/>
              <w:rPr>
                <w:sz w:val="20"/>
                <w:szCs w:val="20"/>
                <w:lang w:eastAsia="it-IT"/>
              </w:rPr>
            </w:pPr>
            <w:r w:rsidRPr="00007AFB">
              <w:rPr>
                <w:sz w:val="20"/>
                <w:szCs w:val="20"/>
                <w:lang w:eastAsia="it-IT"/>
              </w:rPr>
              <w:t>135.42</w:t>
            </w:r>
          </w:p>
        </w:tc>
        <w:tc>
          <w:tcPr>
            <w:tcW w:w="1574" w:type="dxa"/>
            <w:vAlign w:val="bottom"/>
          </w:tcPr>
          <w:p w14:paraId="665B2A25"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 xml:space="preserve">103.62 </w:t>
            </w:r>
          </w:p>
        </w:tc>
        <w:tc>
          <w:tcPr>
            <w:tcW w:w="1716" w:type="dxa"/>
          </w:tcPr>
          <w:p w14:paraId="665B2A26"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100.14 - 107.21</w:t>
            </w:r>
          </w:p>
        </w:tc>
      </w:tr>
      <w:tr w:rsidR="006322A5" w:rsidRPr="00193C36" w14:paraId="665B2A2D" w14:textId="77777777" w:rsidTr="00F9785A">
        <w:trPr>
          <w:jc w:val="center"/>
        </w:trPr>
        <w:tc>
          <w:tcPr>
            <w:tcW w:w="1556" w:type="dxa"/>
            <w:vAlign w:val="bottom"/>
          </w:tcPr>
          <w:p w14:paraId="665B2A28" w14:textId="77777777" w:rsidR="006322A5" w:rsidRPr="00193C36" w:rsidRDefault="006322A5" w:rsidP="00F9785A">
            <w:pPr>
              <w:spacing w:after="0" w:line="240" w:lineRule="auto"/>
              <w:rPr>
                <w:b/>
                <w:sz w:val="20"/>
                <w:szCs w:val="20"/>
              </w:rPr>
            </w:pPr>
            <w:proofErr w:type="spellStart"/>
            <w:r w:rsidRPr="00193C36">
              <w:rPr>
                <w:b/>
                <w:sz w:val="20"/>
                <w:szCs w:val="20"/>
              </w:rPr>
              <w:t>Cmax</w:t>
            </w:r>
            <w:proofErr w:type="spellEnd"/>
          </w:p>
        </w:tc>
        <w:tc>
          <w:tcPr>
            <w:tcW w:w="1655" w:type="dxa"/>
            <w:vAlign w:val="bottom"/>
          </w:tcPr>
          <w:p w14:paraId="665B2A29" w14:textId="77777777" w:rsidR="006322A5" w:rsidRPr="00007AFB" w:rsidRDefault="006322A5" w:rsidP="00F9785A">
            <w:pPr>
              <w:spacing w:after="0"/>
              <w:jc w:val="center"/>
              <w:rPr>
                <w:sz w:val="20"/>
                <w:szCs w:val="20"/>
              </w:rPr>
            </w:pPr>
            <w:r w:rsidRPr="00007AFB">
              <w:rPr>
                <w:sz w:val="20"/>
                <w:szCs w:val="20"/>
                <w:lang w:eastAsia="it-IT"/>
              </w:rPr>
              <w:t>21.00</w:t>
            </w:r>
          </w:p>
        </w:tc>
        <w:tc>
          <w:tcPr>
            <w:tcW w:w="1635" w:type="dxa"/>
            <w:vAlign w:val="bottom"/>
          </w:tcPr>
          <w:p w14:paraId="665B2A2A" w14:textId="77777777" w:rsidR="006322A5" w:rsidRPr="00007AFB" w:rsidRDefault="006322A5" w:rsidP="00F9785A">
            <w:pPr>
              <w:spacing w:after="0"/>
              <w:jc w:val="center"/>
              <w:rPr>
                <w:sz w:val="20"/>
                <w:szCs w:val="20"/>
              </w:rPr>
            </w:pPr>
            <w:r w:rsidRPr="00007AFB">
              <w:rPr>
                <w:sz w:val="20"/>
                <w:szCs w:val="20"/>
                <w:lang w:eastAsia="it-IT"/>
              </w:rPr>
              <w:t>20.25</w:t>
            </w:r>
          </w:p>
        </w:tc>
        <w:tc>
          <w:tcPr>
            <w:tcW w:w="1574" w:type="dxa"/>
          </w:tcPr>
          <w:p w14:paraId="665B2A2B"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103.67</w:t>
            </w:r>
          </w:p>
        </w:tc>
        <w:tc>
          <w:tcPr>
            <w:tcW w:w="1716" w:type="dxa"/>
          </w:tcPr>
          <w:p w14:paraId="665B2A2C"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rPr>
              <w:t>99.66 - 107.83</w:t>
            </w:r>
          </w:p>
        </w:tc>
      </w:tr>
    </w:tbl>
    <w:p w14:paraId="665B2A2E" w14:textId="77777777" w:rsidR="006322A5" w:rsidRDefault="006322A5" w:rsidP="006322A5">
      <w:pPr>
        <w:spacing w:after="0" w:line="240" w:lineRule="auto"/>
        <w:rPr>
          <w:rFonts w:cs="Arial"/>
          <w:i/>
        </w:rPr>
      </w:pPr>
    </w:p>
    <w:tbl>
      <w:tblPr>
        <w:tblW w:w="403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43" w:type="dxa"/>
          <w:left w:w="115" w:type="dxa"/>
          <w:right w:w="115" w:type="dxa"/>
        </w:tblCellMar>
        <w:tblLook w:val="0000" w:firstRow="0" w:lastRow="0" w:firstColumn="0" w:lastColumn="0" w:noHBand="0" w:noVBand="0"/>
      </w:tblPr>
      <w:tblGrid>
        <w:gridCol w:w="1519"/>
        <w:gridCol w:w="1615"/>
        <w:gridCol w:w="1596"/>
        <w:gridCol w:w="1537"/>
        <w:gridCol w:w="1675"/>
      </w:tblGrid>
      <w:tr w:rsidR="006322A5" w:rsidRPr="00193C36" w14:paraId="665B2A30" w14:textId="77777777" w:rsidTr="00F9785A">
        <w:trPr>
          <w:jc w:val="center"/>
        </w:trPr>
        <w:tc>
          <w:tcPr>
            <w:tcW w:w="8136" w:type="dxa"/>
            <w:gridSpan w:val="5"/>
            <w:shd w:val="clear" w:color="auto" w:fill="auto"/>
            <w:vAlign w:val="bottom"/>
          </w:tcPr>
          <w:p w14:paraId="665B2A2F" w14:textId="77777777" w:rsidR="006322A5" w:rsidRPr="00193C36" w:rsidRDefault="006322A5" w:rsidP="00F9785A">
            <w:pPr>
              <w:spacing w:after="0" w:line="240" w:lineRule="auto"/>
              <w:jc w:val="center"/>
              <w:rPr>
                <w:b/>
                <w:bCs/>
                <w:sz w:val="20"/>
                <w:szCs w:val="20"/>
              </w:rPr>
            </w:pPr>
            <w:r>
              <w:rPr>
                <w:b/>
                <w:bCs/>
                <w:sz w:val="20"/>
                <w:szCs w:val="20"/>
              </w:rPr>
              <w:t>Prednisone 20 mg</w:t>
            </w:r>
          </w:p>
        </w:tc>
      </w:tr>
      <w:tr w:rsidR="006322A5" w:rsidRPr="00193C36" w14:paraId="665B2A36" w14:textId="77777777" w:rsidTr="00F9785A">
        <w:trPr>
          <w:jc w:val="center"/>
        </w:trPr>
        <w:tc>
          <w:tcPr>
            <w:tcW w:w="1556" w:type="dxa"/>
            <w:vAlign w:val="bottom"/>
          </w:tcPr>
          <w:p w14:paraId="665B2A31" w14:textId="77777777" w:rsidR="006322A5" w:rsidRPr="00193C36" w:rsidRDefault="006322A5" w:rsidP="00F9785A">
            <w:pPr>
              <w:spacing w:after="0" w:line="240" w:lineRule="auto"/>
              <w:jc w:val="center"/>
              <w:rPr>
                <w:b/>
                <w:sz w:val="20"/>
                <w:szCs w:val="20"/>
              </w:rPr>
            </w:pPr>
            <w:r w:rsidRPr="00193C36">
              <w:rPr>
                <w:b/>
                <w:sz w:val="20"/>
                <w:szCs w:val="20"/>
              </w:rPr>
              <w:t>Parametro</w:t>
            </w:r>
          </w:p>
        </w:tc>
        <w:tc>
          <w:tcPr>
            <w:tcW w:w="1655" w:type="dxa"/>
            <w:vAlign w:val="bottom"/>
          </w:tcPr>
          <w:p w14:paraId="665B2A32" w14:textId="77777777" w:rsidR="006322A5" w:rsidRPr="00193C36" w:rsidRDefault="006322A5" w:rsidP="00F9785A">
            <w:pPr>
              <w:spacing w:after="0" w:line="240" w:lineRule="auto"/>
              <w:jc w:val="center"/>
              <w:rPr>
                <w:b/>
                <w:sz w:val="20"/>
                <w:szCs w:val="20"/>
              </w:rPr>
            </w:pPr>
            <w:r w:rsidRPr="00193C36">
              <w:rPr>
                <w:b/>
                <w:sz w:val="20"/>
                <w:szCs w:val="20"/>
              </w:rPr>
              <w:t>Test</w:t>
            </w:r>
          </w:p>
        </w:tc>
        <w:tc>
          <w:tcPr>
            <w:tcW w:w="1635" w:type="dxa"/>
            <w:vAlign w:val="bottom"/>
          </w:tcPr>
          <w:p w14:paraId="665B2A33" w14:textId="77777777" w:rsidR="006322A5" w:rsidRPr="00193C36" w:rsidRDefault="006322A5" w:rsidP="00F9785A">
            <w:pPr>
              <w:spacing w:after="0" w:line="240" w:lineRule="auto"/>
              <w:jc w:val="center"/>
              <w:rPr>
                <w:b/>
                <w:sz w:val="20"/>
                <w:szCs w:val="20"/>
              </w:rPr>
            </w:pPr>
            <w:r w:rsidRPr="00193C36">
              <w:rPr>
                <w:b/>
                <w:sz w:val="20"/>
                <w:szCs w:val="20"/>
              </w:rPr>
              <w:t>Reference</w:t>
            </w:r>
          </w:p>
        </w:tc>
        <w:tc>
          <w:tcPr>
            <w:tcW w:w="1574" w:type="dxa"/>
            <w:vAlign w:val="bottom"/>
          </w:tcPr>
          <w:p w14:paraId="665B2A34" w14:textId="77777777" w:rsidR="006322A5" w:rsidRPr="00193C36" w:rsidRDefault="006322A5" w:rsidP="00F9785A">
            <w:pPr>
              <w:spacing w:after="0" w:line="240" w:lineRule="auto"/>
              <w:jc w:val="center"/>
              <w:rPr>
                <w:b/>
                <w:sz w:val="20"/>
                <w:szCs w:val="20"/>
              </w:rPr>
            </w:pPr>
            <w:r w:rsidRPr="00193C36">
              <w:rPr>
                <w:b/>
                <w:sz w:val="20"/>
                <w:szCs w:val="20"/>
              </w:rPr>
              <w:t>T/R Ratio</w:t>
            </w:r>
          </w:p>
        </w:tc>
        <w:tc>
          <w:tcPr>
            <w:tcW w:w="1716" w:type="dxa"/>
            <w:vAlign w:val="bottom"/>
          </w:tcPr>
          <w:p w14:paraId="665B2A35" w14:textId="77777777" w:rsidR="006322A5" w:rsidRPr="00193C36" w:rsidRDefault="006322A5" w:rsidP="00F9785A">
            <w:pPr>
              <w:spacing w:after="0" w:line="240" w:lineRule="auto"/>
              <w:jc w:val="center"/>
              <w:rPr>
                <w:b/>
                <w:sz w:val="20"/>
                <w:szCs w:val="20"/>
              </w:rPr>
            </w:pPr>
            <w:r w:rsidRPr="00193C36">
              <w:rPr>
                <w:b/>
                <w:sz w:val="20"/>
                <w:szCs w:val="20"/>
              </w:rPr>
              <w:t>90% C.I.</w:t>
            </w:r>
          </w:p>
        </w:tc>
      </w:tr>
      <w:tr w:rsidR="006322A5" w:rsidRPr="00193C36" w14:paraId="665B2A3C" w14:textId="77777777" w:rsidTr="00F9785A">
        <w:trPr>
          <w:jc w:val="center"/>
        </w:trPr>
        <w:tc>
          <w:tcPr>
            <w:tcW w:w="1556" w:type="dxa"/>
            <w:vAlign w:val="bottom"/>
          </w:tcPr>
          <w:p w14:paraId="665B2A37" w14:textId="77777777" w:rsidR="006322A5" w:rsidRPr="00193C36" w:rsidRDefault="006322A5" w:rsidP="00F9785A">
            <w:pPr>
              <w:spacing w:after="0" w:line="240" w:lineRule="auto"/>
              <w:rPr>
                <w:b/>
                <w:sz w:val="20"/>
                <w:szCs w:val="20"/>
              </w:rPr>
            </w:pPr>
            <w:r w:rsidRPr="00193C36">
              <w:rPr>
                <w:b/>
                <w:sz w:val="20"/>
                <w:szCs w:val="20"/>
              </w:rPr>
              <w:t>AUC0-t</w:t>
            </w:r>
          </w:p>
        </w:tc>
        <w:tc>
          <w:tcPr>
            <w:tcW w:w="1655" w:type="dxa"/>
            <w:vAlign w:val="bottom"/>
          </w:tcPr>
          <w:p w14:paraId="665B2A38"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lang w:val="en-US"/>
              </w:rPr>
              <w:t>257.44</w:t>
            </w:r>
          </w:p>
        </w:tc>
        <w:tc>
          <w:tcPr>
            <w:tcW w:w="1635" w:type="dxa"/>
            <w:vAlign w:val="bottom"/>
          </w:tcPr>
          <w:p w14:paraId="665B2A39" w14:textId="77777777" w:rsidR="006322A5" w:rsidRPr="00007AFB" w:rsidRDefault="006322A5" w:rsidP="00F9785A">
            <w:pPr>
              <w:spacing w:after="0"/>
              <w:jc w:val="center"/>
              <w:rPr>
                <w:sz w:val="20"/>
                <w:szCs w:val="20"/>
              </w:rPr>
            </w:pPr>
            <w:r w:rsidRPr="00007AFB">
              <w:rPr>
                <w:sz w:val="20"/>
                <w:szCs w:val="20"/>
                <w:lang w:eastAsia="it-IT"/>
              </w:rPr>
              <w:t>259.84</w:t>
            </w:r>
          </w:p>
        </w:tc>
        <w:tc>
          <w:tcPr>
            <w:tcW w:w="1574" w:type="dxa"/>
            <w:vAlign w:val="bottom"/>
          </w:tcPr>
          <w:p w14:paraId="665B2A3A" w14:textId="77777777" w:rsidR="006322A5" w:rsidRPr="00007AFB" w:rsidRDefault="006322A5" w:rsidP="00F9785A">
            <w:pPr>
              <w:spacing w:after="0"/>
              <w:jc w:val="center"/>
              <w:rPr>
                <w:sz w:val="20"/>
                <w:szCs w:val="20"/>
              </w:rPr>
            </w:pPr>
            <w:r w:rsidRPr="00007AFB">
              <w:rPr>
                <w:sz w:val="20"/>
                <w:szCs w:val="20"/>
              </w:rPr>
              <w:t>99.07</w:t>
            </w:r>
          </w:p>
        </w:tc>
        <w:tc>
          <w:tcPr>
            <w:tcW w:w="1716" w:type="dxa"/>
          </w:tcPr>
          <w:p w14:paraId="665B2A3B"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lang w:val="en-US"/>
              </w:rPr>
              <w:t>96.12 – 102.12</w:t>
            </w:r>
          </w:p>
        </w:tc>
      </w:tr>
      <w:tr w:rsidR="006322A5" w:rsidRPr="00193C36" w14:paraId="665B2A42" w14:textId="77777777" w:rsidTr="00F9785A">
        <w:trPr>
          <w:jc w:val="center"/>
        </w:trPr>
        <w:tc>
          <w:tcPr>
            <w:tcW w:w="1556" w:type="dxa"/>
            <w:vAlign w:val="bottom"/>
          </w:tcPr>
          <w:p w14:paraId="665B2A3D" w14:textId="77777777" w:rsidR="006322A5" w:rsidRPr="00193C36" w:rsidRDefault="006322A5" w:rsidP="00F9785A">
            <w:pPr>
              <w:spacing w:after="0" w:line="240" w:lineRule="auto"/>
              <w:rPr>
                <w:b/>
                <w:sz w:val="20"/>
                <w:szCs w:val="20"/>
              </w:rPr>
            </w:pPr>
            <w:r w:rsidRPr="00193C36">
              <w:rPr>
                <w:b/>
                <w:sz w:val="20"/>
                <w:szCs w:val="20"/>
              </w:rPr>
              <w:t>AUC0-∞</w:t>
            </w:r>
          </w:p>
        </w:tc>
        <w:tc>
          <w:tcPr>
            <w:tcW w:w="1655" w:type="dxa"/>
            <w:vAlign w:val="bottom"/>
          </w:tcPr>
          <w:p w14:paraId="665B2A3E" w14:textId="77777777" w:rsidR="006322A5" w:rsidRPr="00007AFB" w:rsidRDefault="006322A5" w:rsidP="00F9785A">
            <w:pPr>
              <w:pStyle w:val="Default"/>
              <w:jc w:val="center"/>
              <w:rPr>
                <w:rFonts w:ascii="Calibri" w:hAnsi="Calibri"/>
                <w:sz w:val="20"/>
                <w:szCs w:val="20"/>
              </w:rPr>
            </w:pPr>
            <w:r w:rsidRPr="00007AFB">
              <w:rPr>
                <w:rFonts w:ascii="Calibri" w:hAnsi="Calibri"/>
                <w:sz w:val="20"/>
                <w:szCs w:val="20"/>
                <w:lang w:val="en-US"/>
              </w:rPr>
              <w:t>272.89</w:t>
            </w:r>
          </w:p>
        </w:tc>
        <w:tc>
          <w:tcPr>
            <w:tcW w:w="1635" w:type="dxa"/>
            <w:vAlign w:val="bottom"/>
          </w:tcPr>
          <w:p w14:paraId="665B2A3F" w14:textId="77777777" w:rsidR="006322A5" w:rsidRPr="00007AFB" w:rsidRDefault="006322A5" w:rsidP="00F9785A">
            <w:pPr>
              <w:spacing w:after="0"/>
              <w:jc w:val="center"/>
              <w:rPr>
                <w:sz w:val="20"/>
                <w:szCs w:val="20"/>
                <w:lang w:eastAsia="it-IT"/>
              </w:rPr>
            </w:pPr>
            <w:r w:rsidRPr="00007AFB">
              <w:rPr>
                <w:sz w:val="20"/>
                <w:szCs w:val="20"/>
                <w:lang w:eastAsia="it-IT"/>
              </w:rPr>
              <w:t>276.33</w:t>
            </w:r>
          </w:p>
        </w:tc>
        <w:tc>
          <w:tcPr>
            <w:tcW w:w="1574" w:type="dxa"/>
            <w:vAlign w:val="bottom"/>
          </w:tcPr>
          <w:p w14:paraId="665B2A40" w14:textId="77777777" w:rsidR="006322A5" w:rsidRPr="00007AFB" w:rsidRDefault="006322A5" w:rsidP="00F9785A">
            <w:pPr>
              <w:pStyle w:val="Default"/>
              <w:jc w:val="center"/>
              <w:rPr>
                <w:rFonts w:ascii="Calibri" w:hAnsi="Calibri"/>
                <w:sz w:val="20"/>
                <w:szCs w:val="20"/>
                <w:highlight w:val="yellow"/>
              </w:rPr>
            </w:pPr>
            <w:r w:rsidRPr="00007AFB">
              <w:rPr>
                <w:rFonts w:ascii="Calibri" w:hAnsi="Calibri"/>
                <w:sz w:val="20"/>
                <w:szCs w:val="20"/>
                <w:lang w:val="en-US"/>
              </w:rPr>
              <w:t>98.75</w:t>
            </w:r>
          </w:p>
        </w:tc>
        <w:tc>
          <w:tcPr>
            <w:tcW w:w="1716" w:type="dxa"/>
          </w:tcPr>
          <w:p w14:paraId="665B2A41" w14:textId="77777777" w:rsidR="006322A5" w:rsidRPr="00007AFB" w:rsidRDefault="006322A5" w:rsidP="00F9785A">
            <w:pPr>
              <w:pStyle w:val="Default"/>
              <w:jc w:val="center"/>
              <w:rPr>
                <w:rFonts w:ascii="Calibri" w:hAnsi="Calibri"/>
                <w:sz w:val="20"/>
                <w:szCs w:val="20"/>
                <w:highlight w:val="yellow"/>
              </w:rPr>
            </w:pPr>
            <w:r w:rsidRPr="00007AFB">
              <w:rPr>
                <w:rFonts w:ascii="Calibri" w:hAnsi="Calibri"/>
                <w:sz w:val="20"/>
                <w:szCs w:val="20"/>
                <w:lang w:val="en-US"/>
              </w:rPr>
              <w:t>95.66 – 101.95</w:t>
            </w:r>
          </w:p>
        </w:tc>
      </w:tr>
      <w:tr w:rsidR="006322A5" w:rsidRPr="00193C36" w14:paraId="665B2A48" w14:textId="77777777" w:rsidTr="00F9785A">
        <w:trPr>
          <w:jc w:val="center"/>
        </w:trPr>
        <w:tc>
          <w:tcPr>
            <w:tcW w:w="1556" w:type="dxa"/>
            <w:vAlign w:val="bottom"/>
          </w:tcPr>
          <w:p w14:paraId="665B2A43" w14:textId="77777777" w:rsidR="006322A5" w:rsidRPr="00193C36" w:rsidRDefault="006322A5" w:rsidP="00F9785A">
            <w:pPr>
              <w:spacing w:after="0" w:line="240" w:lineRule="auto"/>
              <w:rPr>
                <w:b/>
                <w:sz w:val="20"/>
                <w:szCs w:val="20"/>
              </w:rPr>
            </w:pPr>
            <w:proofErr w:type="spellStart"/>
            <w:r w:rsidRPr="00193C36">
              <w:rPr>
                <w:b/>
                <w:sz w:val="20"/>
                <w:szCs w:val="20"/>
              </w:rPr>
              <w:t>Cmax</w:t>
            </w:r>
            <w:proofErr w:type="spellEnd"/>
          </w:p>
        </w:tc>
        <w:tc>
          <w:tcPr>
            <w:tcW w:w="1655" w:type="dxa"/>
            <w:vAlign w:val="bottom"/>
          </w:tcPr>
          <w:p w14:paraId="665B2A44" w14:textId="77777777" w:rsidR="006322A5" w:rsidRPr="00007AFB" w:rsidRDefault="006322A5" w:rsidP="00F9785A">
            <w:pPr>
              <w:spacing w:after="0"/>
              <w:jc w:val="center"/>
              <w:rPr>
                <w:sz w:val="20"/>
                <w:szCs w:val="20"/>
              </w:rPr>
            </w:pPr>
            <w:r w:rsidRPr="00007AFB">
              <w:rPr>
                <w:sz w:val="20"/>
                <w:szCs w:val="20"/>
                <w:lang w:eastAsia="it-IT"/>
              </w:rPr>
              <w:t>32.41</w:t>
            </w:r>
          </w:p>
        </w:tc>
        <w:tc>
          <w:tcPr>
            <w:tcW w:w="1635" w:type="dxa"/>
            <w:vAlign w:val="bottom"/>
          </w:tcPr>
          <w:p w14:paraId="665B2A45" w14:textId="77777777" w:rsidR="006322A5" w:rsidRPr="00007AFB" w:rsidRDefault="006322A5" w:rsidP="00F9785A">
            <w:pPr>
              <w:spacing w:after="0"/>
              <w:jc w:val="center"/>
              <w:rPr>
                <w:sz w:val="20"/>
                <w:szCs w:val="20"/>
              </w:rPr>
            </w:pPr>
            <w:r w:rsidRPr="00007AFB">
              <w:rPr>
                <w:sz w:val="20"/>
                <w:szCs w:val="20"/>
                <w:lang w:eastAsia="it-IT"/>
              </w:rPr>
              <w:t>32.38</w:t>
            </w:r>
          </w:p>
        </w:tc>
        <w:tc>
          <w:tcPr>
            <w:tcW w:w="1574" w:type="dxa"/>
          </w:tcPr>
          <w:p w14:paraId="665B2A46" w14:textId="77777777" w:rsidR="006322A5" w:rsidRPr="00007AFB" w:rsidRDefault="006322A5" w:rsidP="00F9785A">
            <w:pPr>
              <w:pStyle w:val="Default"/>
              <w:jc w:val="center"/>
              <w:rPr>
                <w:rFonts w:ascii="Calibri" w:hAnsi="Calibri"/>
                <w:sz w:val="20"/>
                <w:szCs w:val="20"/>
                <w:highlight w:val="yellow"/>
              </w:rPr>
            </w:pPr>
            <w:r w:rsidRPr="00007AFB">
              <w:rPr>
                <w:rFonts w:ascii="Calibri" w:hAnsi="Calibri"/>
                <w:sz w:val="20"/>
                <w:szCs w:val="20"/>
                <w:lang w:val="en-US"/>
              </w:rPr>
              <w:t>100.08</w:t>
            </w:r>
          </w:p>
        </w:tc>
        <w:tc>
          <w:tcPr>
            <w:tcW w:w="1716" w:type="dxa"/>
          </w:tcPr>
          <w:p w14:paraId="665B2A47" w14:textId="77777777" w:rsidR="006322A5" w:rsidRPr="00007AFB" w:rsidRDefault="006322A5" w:rsidP="00F9785A">
            <w:pPr>
              <w:pStyle w:val="Default"/>
              <w:jc w:val="center"/>
              <w:rPr>
                <w:rFonts w:ascii="Calibri" w:hAnsi="Calibri"/>
                <w:sz w:val="20"/>
                <w:szCs w:val="20"/>
                <w:highlight w:val="yellow"/>
              </w:rPr>
            </w:pPr>
            <w:r w:rsidRPr="00007AFB">
              <w:rPr>
                <w:rFonts w:ascii="Calibri" w:hAnsi="Calibri"/>
                <w:sz w:val="20"/>
                <w:szCs w:val="20"/>
                <w:lang w:val="en-US"/>
              </w:rPr>
              <w:t>96.83 - 103.44</w:t>
            </w:r>
          </w:p>
        </w:tc>
      </w:tr>
    </w:tbl>
    <w:p w14:paraId="665B2A49" w14:textId="77777777" w:rsidR="006322A5" w:rsidRDefault="006322A5" w:rsidP="006322A5">
      <w:pPr>
        <w:spacing w:after="0" w:line="240" w:lineRule="auto"/>
        <w:rPr>
          <w:rFonts w:cs="Arial"/>
          <w:i/>
        </w:rPr>
      </w:pPr>
    </w:p>
    <w:p w14:paraId="665B2A4A" w14:textId="77777777" w:rsidR="006322A5" w:rsidRPr="009F5FC7" w:rsidRDefault="006322A5" w:rsidP="006322A5">
      <w:pPr>
        <w:spacing w:after="0" w:line="240" w:lineRule="auto"/>
        <w:rPr>
          <w:rFonts w:cs="Arial"/>
        </w:rPr>
      </w:pPr>
      <w:r w:rsidRPr="009F5FC7">
        <w:rPr>
          <w:rFonts w:cs="Arial"/>
          <w:i/>
        </w:rPr>
        <w:t xml:space="preserve">Conclusioni sulla </w:t>
      </w:r>
      <w:proofErr w:type="spellStart"/>
      <w:r w:rsidRPr="009F5FC7">
        <w:rPr>
          <w:rFonts w:cs="Arial"/>
          <w:i/>
        </w:rPr>
        <w:t>bioequivalenza</w:t>
      </w:r>
      <w:proofErr w:type="spellEnd"/>
      <w:r w:rsidRPr="009F5FC7">
        <w:rPr>
          <w:rFonts w:cs="Arial"/>
        </w:rPr>
        <w:t>.</w:t>
      </w:r>
    </w:p>
    <w:p w14:paraId="665B2A4B" w14:textId="77777777" w:rsidR="006322A5" w:rsidRPr="009F5FC7" w:rsidRDefault="006322A5" w:rsidP="006322A5">
      <w:pPr>
        <w:spacing w:after="0" w:line="240" w:lineRule="auto"/>
        <w:jc w:val="both"/>
        <w:rPr>
          <w:rFonts w:cs="Arial"/>
        </w:rPr>
      </w:pPr>
      <w:r w:rsidRPr="009F5FC7">
        <w:rPr>
          <w:rFonts w:cs="Arial"/>
        </w:rPr>
        <w:t xml:space="preserve">I risultati degli studi di </w:t>
      </w:r>
      <w:proofErr w:type="spellStart"/>
      <w:r w:rsidRPr="009F5FC7">
        <w:rPr>
          <w:rFonts w:cs="Arial"/>
        </w:rPr>
        <w:t>bioequivalenza</w:t>
      </w:r>
      <w:proofErr w:type="spellEnd"/>
      <w:r w:rsidRPr="009F5FC7">
        <w:rPr>
          <w:rFonts w:cs="Arial"/>
        </w:rPr>
        <w:t xml:space="preserve"> mostrano che gli intervalli di confidenza dei parametri farmacocinetici studiati cadono nel </w:t>
      </w:r>
      <w:proofErr w:type="spellStart"/>
      <w:r w:rsidRPr="009F5FC7">
        <w:rPr>
          <w:rFonts w:cs="Arial"/>
        </w:rPr>
        <w:t>range</w:t>
      </w:r>
      <w:proofErr w:type="spellEnd"/>
      <w:r w:rsidRPr="009F5FC7">
        <w:rPr>
          <w:rFonts w:cs="Arial"/>
        </w:rPr>
        <w:t xml:space="preserve"> di accettabilità di 80-125%, in accordo con le linee guida correnti.</w:t>
      </w:r>
    </w:p>
    <w:p w14:paraId="665B2A4C" w14:textId="77777777" w:rsidR="005049A1" w:rsidRDefault="005049A1" w:rsidP="005049A1">
      <w:pPr>
        <w:spacing w:after="0" w:line="240" w:lineRule="auto"/>
        <w:jc w:val="both"/>
        <w:rPr>
          <w:rFonts w:cs="Arial"/>
        </w:rPr>
      </w:pPr>
    </w:p>
    <w:p w14:paraId="665B2A4D" w14:textId="77777777" w:rsidR="004631F3" w:rsidRPr="00340DC4" w:rsidRDefault="004631F3" w:rsidP="004631F3">
      <w:pPr>
        <w:spacing w:after="0" w:line="240" w:lineRule="auto"/>
        <w:jc w:val="both"/>
        <w:rPr>
          <w:rFonts w:eastAsia="Times New Roman" w:cs="Arial"/>
          <w:color w:val="000000"/>
          <w:lang w:eastAsia="it-IT"/>
        </w:rPr>
      </w:pPr>
      <w:r w:rsidRPr="007C4962">
        <w:rPr>
          <w:rFonts w:cs="Arial"/>
        </w:rPr>
        <w:lastRenderedPageBreak/>
        <w:t xml:space="preserve">I risultati dello studio di </w:t>
      </w:r>
      <w:proofErr w:type="spellStart"/>
      <w:r w:rsidRPr="007C4962">
        <w:rPr>
          <w:rFonts w:cs="Arial"/>
        </w:rPr>
        <w:t>bioequivalenza</w:t>
      </w:r>
      <w:proofErr w:type="spellEnd"/>
      <w:r w:rsidRPr="007C4962">
        <w:rPr>
          <w:rFonts w:cs="Arial"/>
        </w:rPr>
        <w:t xml:space="preserve"> condotto con il dosaggio da </w:t>
      </w:r>
      <w:r w:rsidR="007C4962" w:rsidRPr="007C4962">
        <w:rPr>
          <w:rFonts w:cs="Arial"/>
        </w:rPr>
        <w:t>20 mg</w:t>
      </w:r>
      <w:r w:rsidRPr="007C4962">
        <w:rPr>
          <w:rFonts w:cs="Arial"/>
        </w:rPr>
        <w:t xml:space="preserve"> può essere estrap</w:t>
      </w:r>
      <w:r w:rsidR="007C4962" w:rsidRPr="007C4962">
        <w:rPr>
          <w:rFonts w:cs="Arial"/>
        </w:rPr>
        <w:t>olato agli altri dosaggi da 25 mg</w:t>
      </w:r>
      <w:r w:rsidRPr="007C4962">
        <w:rPr>
          <w:rFonts w:cs="Arial"/>
        </w:rPr>
        <w:t xml:space="preserve">, </w:t>
      </w:r>
      <w:r w:rsidR="00F76F77" w:rsidRPr="007C4962">
        <w:rPr>
          <w:rFonts w:eastAsia="Times New Roman" w:cs="Arial"/>
          <w:bCs/>
          <w:color w:val="000000"/>
          <w:lang w:eastAsia="it-IT"/>
        </w:rPr>
        <w:t xml:space="preserve">in quanto sono stati soddisfatti i requisiti per la concessione del </w:t>
      </w:r>
      <w:proofErr w:type="spellStart"/>
      <w:r w:rsidR="00F76F77" w:rsidRPr="007C4962">
        <w:rPr>
          <w:rFonts w:eastAsia="Times New Roman" w:cs="Arial"/>
          <w:bCs/>
          <w:color w:val="000000"/>
          <w:lang w:eastAsia="it-IT"/>
        </w:rPr>
        <w:t>waiver</w:t>
      </w:r>
      <w:proofErr w:type="spellEnd"/>
      <w:r w:rsidR="00F76F77" w:rsidRPr="007C4962">
        <w:rPr>
          <w:rFonts w:eastAsia="Times New Roman" w:cs="Arial"/>
          <w:bCs/>
          <w:color w:val="000000"/>
          <w:lang w:eastAsia="it-IT"/>
        </w:rPr>
        <w:t xml:space="preserve"> di cui al paragrafo 4.1.6 della linea guida </w:t>
      </w:r>
      <w:proofErr w:type="spellStart"/>
      <w:r w:rsidR="00F76F77" w:rsidRPr="007C4962">
        <w:t>Guideline</w:t>
      </w:r>
      <w:proofErr w:type="spellEnd"/>
      <w:r w:rsidR="00F76F77" w:rsidRPr="007C4962">
        <w:t xml:space="preserve"> on the </w:t>
      </w:r>
      <w:proofErr w:type="spellStart"/>
      <w:r w:rsidR="00F76F77" w:rsidRPr="007C4962">
        <w:t>Investigation</w:t>
      </w:r>
      <w:proofErr w:type="spellEnd"/>
      <w:r w:rsidR="00F76F77" w:rsidRPr="007C4962">
        <w:t xml:space="preserve"> of </w:t>
      </w:r>
      <w:proofErr w:type="spellStart"/>
      <w:r w:rsidR="00F76F77" w:rsidRPr="007C4962">
        <w:t>Bioequivalence</w:t>
      </w:r>
      <w:proofErr w:type="spellEnd"/>
      <w:r w:rsidR="00F76F77" w:rsidRPr="007C4962">
        <w:t xml:space="preserve"> </w:t>
      </w:r>
      <w:r w:rsidR="00F76F77" w:rsidRPr="007C4962">
        <w:rPr>
          <w:rFonts w:eastAsia="Times New Roman" w:cs="Arial"/>
          <w:bCs/>
          <w:color w:val="000000"/>
          <w:lang w:eastAsia="it-IT"/>
        </w:rPr>
        <w:t>CPMP/EWP/QWP/98 rev.1/</w:t>
      </w:r>
      <w:proofErr w:type="spellStart"/>
      <w:r w:rsidR="00F76F77" w:rsidRPr="007C4962">
        <w:rPr>
          <w:rFonts w:eastAsia="Times New Roman" w:cs="Arial"/>
          <w:bCs/>
          <w:color w:val="000000"/>
          <w:lang w:eastAsia="it-IT"/>
        </w:rPr>
        <w:t>Corr</w:t>
      </w:r>
      <w:proofErr w:type="spellEnd"/>
      <w:r w:rsidR="00F76F77" w:rsidRPr="007C4962">
        <w:rPr>
          <w:rFonts w:eastAsia="Times New Roman" w:cs="Arial"/>
          <w:bCs/>
          <w:color w:val="000000"/>
          <w:lang w:eastAsia="it-IT"/>
        </w:rPr>
        <w:t>**</w:t>
      </w:r>
    </w:p>
    <w:p w14:paraId="665B2A4E" w14:textId="77777777" w:rsidR="004631F3" w:rsidRPr="009F5FC7" w:rsidRDefault="004631F3" w:rsidP="005049A1">
      <w:pPr>
        <w:spacing w:after="0" w:line="240" w:lineRule="auto"/>
        <w:jc w:val="both"/>
        <w:rPr>
          <w:rFonts w:cs="Arial"/>
        </w:rPr>
      </w:pPr>
    </w:p>
    <w:p w14:paraId="665B2A4F" w14:textId="77777777" w:rsidR="005049A1" w:rsidRPr="009F5FC7" w:rsidRDefault="005049A1" w:rsidP="005049A1">
      <w:pPr>
        <w:spacing w:after="0" w:line="240" w:lineRule="auto"/>
        <w:jc w:val="both"/>
        <w:rPr>
          <w:rFonts w:cs="Arial"/>
          <w:b/>
        </w:rPr>
      </w:pPr>
      <w:r w:rsidRPr="009F5FC7">
        <w:rPr>
          <w:rFonts w:cs="Arial"/>
          <w:b/>
        </w:rPr>
        <w:t>Efficacia e sicurezza clinica</w:t>
      </w:r>
    </w:p>
    <w:p w14:paraId="665B2A50" w14:textId="36CFB55F" w:rsidR="005049A1" w:rsidRDefault="005049A1" w:rsidP="005049A1">
      <w:pPr>
        <w:spacing w:after="0" w:line="240" w:lineRule="auto"/>
        <w:jc w:val="both"/>
        <w:rPr>
          <w:rFonts w:cs="Arial"/>
        </w:rPr>
      </w:pPr>
      <w:r w:rsidRPr="009F5FC7">
        <w:rPr>
          <w:rFonts w:cs="Arial"/>
        </w:rPr>
        <w:t>Non sono stati presentati nuovi dati di efficacia e sicurezza clinica: il profilo di sicur</w:t>
      </w:r>
      <w:r w:rsidR="00F90F1F">
        <w:rPr>
          <w:rFonts w:cs="Arial"/>
        </w:rPr>
        <w:t>ezza e l’efficacia del principi</w:t>
      </w:r>
      <w:r w:rsidR="00071D59">
        <w:rPr>
          <w:rFonts w:cs="Arial"/>
        </w:rPr>
        <w:t>o</w:t>
      </w:r>
      <w:r w:rsidRPr="009F5FC7">
        <w:rPr>
          <w:rFonts w:cs="Arial"/>
        </w:rPr>
        <w:t xml:space="preserve"> attiv</w:t>
      </w:r>
      <w:r w:rsidR="00071D59">
        <w:rPr>
          <w:rFonts w:cs="Arial"/>
        </w:rPr>
        <w:t>o</w:t>
      </w:r>
      <w:r w:rsidRPr="009F5FC7">
        <w:rPr>
          <w:rFonts w:cs="Arial"/>
        </w:rPr>
        <w:t xml:space="preserve"> di </w:t>
      </w:r>
      <w:r w:rsidR="009D775A">
        <w:rPr>
          <w:rFonts w:eastAsia="Calibri" w:cs="Calibri"/>
          <w:color w:val="000000"/>
          <w:lang w:eastAsia="it-IT"/>
        </w:rPr>
        <w:t>VAPREDIS</w:t>
      </w:r>
      <w:r w:rsidR="00071D59">
        <w:rPr>
          <w:rFonts w:eastAsia="Calibri" w:cs="Calibri"/>
          <w:color w:val="000000"/>
          <w:lang w:eastAsia="it-IT"/>
        </w:rPr>
        <w:t>, nel dosaggio da 5 mg e 20 mg,</w:t>
      </w:r>
      <w:r w:rsidR="002E2495">
        <w:rPr>
          <w:rFonts w:eastAsia="Calibri" w:cs="Calibri"/>
          <w:color w:val="000000"/>
          <w:lang w:eastAsia="it-IT"/>
        </w:rPr>
        <w:t xml:space="preserve"> </w:t>
      </w:r>
      <w:r w:rsidRPr="009F5FC7">
        <w:rPr>
          <w:rFonts w:cs="Arial"/>
        </w:rPr>
        <w:t>è ben conosciuto.</w:t>
      </w:r>
    </w:p>
    <w:p w14:paraId="665B2A51" w14:textId="77777777" w:rsidR="00071D59" w:rsidRDefault="00071D59" w:rsidP="005049A1">
      <w:pPr>
        <w:spacing w:after="0" w:line="240" w:lineRule="auto"/>
        <w:jc w:val="both"/>
        <w:rPr>
          <w:rFonts w:cs="Arial"/>
        </w:rPr>
      </w:pPr>
    </w:p>
    <w:p w14:paraId="665B2A52" w14:textId="4A4AEB4A" w:rsidR="00071D59" w:rsidRPr="002D5520" w:rsidRDefault="00071D59" w:rsidP="00071D59">
      <w:pPr>
        <w:widowControl w:val="0"/>
        <w:spacing w:after="0" w:line="240" w:lineRule="auto"/>
        <w:jc w:val="both"/>
        <w:rPr>
          <w:rFonts w:eastAsia="Calibri" w:cs="Calibri"/>
          <w:color w:val="000000"/>
          <w:u w:val="single"/>
          <w:lang w:eastAsia="it-IT"/>
        </w:rPr>
      </w:pPr>
      <w:r>
        <w:rPr>
          <w:rFonts w:eastAsia="Calibri" w:cs="Calibri"/>
          <w:color w:val="000000"/>
          <w:lang w:eastAsia="it-IT"/>
        </w:rPr>
        <w:t xml:space="preserve">Poiché </w:t>
      </w:r>
      <w:r w:rsidR="009D775A">
        <w:rPr>
          <w:rFonts w:eastAsia="Calibri" w:cs="Calibri"/>
          <w:color w:val="000000"/>
          <w:lang w:eastAsia="it-IT"/>
        </w:rPr>
        <w:t>VAPREDIS</w:t>
      </w:r>
      <w:r w:rsidRPr="002D5520">
        <w:rPr>
          <w:rFonts w:eastAsia="Calibri" w:cs="Calibri"/>
          <w:color w:val="000000"/>
          <w:lang w:eastAsia="it-IT"/>
        </w:rPr>
        <w:t xml:space="preserve"> </w:t>
      </w:r>
      <w:r>
        <w:rPr>
          <w:rFonts w:eastAsia="Calibri" w:cs="Calibri"/>
          <w:color w:val="000000"/>
          <w:lang w:eastAsia="it-IT"/>
        </w:rPr>
        <w:t xml:space="preserve">25 mg </w:t>
      </w:r>
      <w:r w:rsidRPr="002D5520">
        <w:rPr>
          <w:rFonts w:eastAsia="Calibri" w:cs="Calibri"/>
          <w:color w:val="000000"/>
          <w:lang w:eastAsia="it-IT"/>
        </w:rPr>
        <w:t>è un “medicinale generico ibrido</w:t>
      </w:r>
      <w:r>
        <w:rPr>
          <w:rFonts w:eastAsia="Calibri" w:cs="Calibri"/>
          <w:color w:val="000000"/>
          <w:lang w:eastAsia="it-IT"/>
        </w:rPr>
        <w:t>”</w:t>
      </w:r>
      <w:r w:rsidRPr="00EB4398">
        <w:rPr>
          <w:rFonts w:eastAsia="Calibri" w:cs="Calibri"/>
          <w:color w:val="000000"/>
          <w:u w:val="single"/>
          <w:lang w:eastAsia="it-IT"/>
        </w:rPr>
        <w:t xml:space="preserve"> del medicinale </w:t>
      </w:r>
      <w:r>
        <w:rPr>
          <w:rFonts w:eastAsia="Calibri" w:cs="Calibri"/>
          <w:color w:val="000000"/>
          <w:u w:val="single"/>
          <w:lang w:eastAsia="it-IT"/>
        </w:rPr>
        <w:t>d</w:t>
      </w:r>
      <w:r w:rsidRPr="00EB4398">
        <w:rPr>
          <w:rFonts w:eastAsia="Calibri" w:cs="Calibri"/>
          <w:color w:val="000000"/>
          <w:u w:val="single"/>
          <w:lang w:eastAsia="it-IT"/>
        </w:rPr>
        <w:t xml:space="preserve">i riferimento </w:t>
      </w:r>
      <w:r>
        <w:rPr>
          <w:rFonts w:eastAsia="Calibri" w:cs="Calibri"/>
          <w:color w:val="000000"/>
          <w:u w:val="single"/>
          <w:lang w:eastAsia="it-IT"/>
        </w:rPr>
        <w:t>DECORTIN</w:t>
      </w:r>
      <w:r w:rsidRPr="002D5520">
        <w:rPr>
          <w:rFonts w:eastAsia="Calibri" w:cs="Calibri"/>
          <w:color w:val="000000"/>
          <w:lang w:eastAsia="it-IT"/>
        </w:rPr>
        <w:t xml:space="preserve">, </w:t>
      </w:r>
      <w:r>
        <w:rPr>
          <w:rFonts w:eastAsia="Calibri" w:cs="Calibri"/>
          <w:color w:val="000000"/>
          <w:lang w:eastAsia="it-IT"/>
        </w:rPr>
        <w:t>c</w:t>
      </w:r>
      <w:r w:rsidRPr="002D5520">
        <w:rPr>
          <w:rFonts w:eastAsia="Calibri" w:cs="Calibri"/>
          <w:color w:val="000000"/>
          <w:u w:val="single"/>
          <w:lang w:eastAsia="it-IT"/>
        </w:rPr>
        <w:t xml:space="preserve">ontenente lo stesso principio attivo, ma </w:t>
      </w:r>
      <w:r>
        <w:rPr>
          <w:rFonts w:eastAsia="Calibri" w:cs="Calibri"/>
          <w:color w:val="000000"/>
          <w:u w:val="single"/>
          <w:lang w:eastAsia="it-IT"/>
        </w:rPr>
        <w:t xml:space="preserve">un diverso dosaggio, sono stati presentati studi clinici per </w:t>
      </w:r>
      <w:r w:rsidR="009D775A">
        <w:rPr>
          <w:rFonts w:eastAsia="Calibri" w:cs="Calibri"/>
          <w:color w:val="000000"/>
          <w:lang w:eastAsia="it-IT"/>
        </w:rPr>
        <w:t>VAPREDIS</w:t>
      </w:r>
      <w:r w:rsidRPr="002D5520">
        <w:rPr>
          <w:rFonts w:eastAsia="Calibri" w:cs="Calibri"/>
          <w:color w:val="000000"/>
          <w:lang w:eastAsia="it-IT"/>
        </w:rPr>
        <w:t xml:space="preserve"> </w:t>
      </w:r>
      <w:r>
        <w:rPr>
          <w:rFonts w:eastAsia="Calibri" w:cs="Calibri"/>
          <w:color w:val="000000"/>
          <w:lang w:eastAsia="it-IT"/>
        </w:rPr>
        <w:t xml:space="preserve">25 mg per dimostrare l’efficacia e la sicurezza rispetto al prodotto di riferimento </w:t>
      </w:r>
      <w:r w:rsidRPr="00071D59">
        <w:rPr>
          <w:rFonts w:eastAsia="Calibri" w:cs="Calibri"/>
          <w:color w:val="000000"/>
          <w:lang w:eastAsia="it-IT"/>
        </w:rPr>
        <w:t>DECORTIN</w:t>
      </w:r>
      <w:r>
        <w:rPr>
          <w:rFonts w:eastAsia="Calibri" w:cs="Calibri"/>
          <w:color w:val="000000"/>
          <w:lang w:eastAsia="it-IT"/>
        </w:rPr>
        <w:t>.</w:t>
      </w:r>
    </w:p>
    <w:p w14:paraId="665B2A53" w14:textId="77777777" w:rsidR="004B5B15" w:rsidRPr="00607A60" w:rsidRDefault="004B5B15" w:rsidP="004B5B15">
      <w:pPr>
        <w:spacing w:after="0" w:line="240" w:lineRule="auto"/>
        <w:jc w:val="both"/>
        <w:rPr>
          <w:rFonts w:cs="Arial"/>
        </w:rPr>
      </w:pPr>
    </w:p>
    <w:p w14:paraId="665B2A54" w14:textId="7961E2A9" w:rsidR="00C77C09" w:rsidRDefault="005250B6" w:rsidP="00607A60">
      <w:pPr>
        <w:pStyle w:val="Corpotesto"/>
        <w:jc w:val="both"/>
        <w:rPr>
          <w:rFonts w:asciiTheme="minorHAnsi" w:eastAsiaTheme="minorHAnsi" w:hAnsiTheme="minorHAnsi" w:cs="Arial"/>
        </w:rPr>
      </w:pPr>
      <w:r w:rsidRPr="00607A60">
        <w:rPr>
          <w:rFonts w:asciiTheme="minorHAnsi" w:eastAsiaTheme="minorHAnsi" w:hAnsiTheme="minorHAnsi" w:cs="Arial"/>
        </w:rPr>
        <w:t>Pertanto</w:t>
      </w:r>
      <w:r w:rsidR="004B5B15" w:rsidRPr="00607A60">
        <w:rPr>
          <w:rFonts w:asciiTheme="minorHAnsi" w:eastAsiaTheme="minorHAnsi" w:hAnsiTheme="minorHAnsi" w:cs="Arial"/>
        </w:rPr>
        <w:t xml:space="preserve"> dal punto di vista clinico </w:t>
      </w:r>
      <w:r w:rsidR="009D775A">
        <w:rPr>
          <w:rFonts w:asciiTheme="minorHAnsi" w:eastAsiaTheme="minorHAnsi" w:hAnsiTheme="minorHAnsi" w:cs="Arial"/>
        </w:rPr>
        <w:t>VAPREDIS</w:t>
      </w:r>
      <w:r w:rsidR="004B5B15" w:rsidRPr="00607A60">
        <w:rPr>
          <w:rFonts w:asciiTheme="minorHAnsi" w:eastAsiaTheme="minorHAnsi" w:hAnsiTheme="minorHAnsi" w:cs="Arial"/>
        </w:rPr>
        <w:t xml:space="preserve"> è stato considerato accettabile per l’autorizzazione all’immissione </w:t>
      </w:r>
      <w:r w:rsidR="00607A60" w:rsidRPr="00607A60">
        <w:rPr>
          <w:rFonts w:asciiTheme="minorHAnsi" w:eastAsiaTheme="minorHAnsi" w:hAnsiTheme="minorHAnsi" w:cs="Arial"/>
        </w:rPr>
        <w:t xml:space="preserve">in commercio per l’utilizzo nel trattamento di malattie che richiedono una terapia sistemica con </w:t>
      </w:r>
      <w:proofErr w:type="spellStart"/>
      <w:r w:rsidR="00607A60" w:rsidRPr="00607A60">
        <w:rPr>
          <w:rFonts w:asciiTheme="minorHAnsi" w:eastAsiaTheme="minorHAnsi" w:hAnsiTheme="minorHAnsi" w:cs="Arial"/>
        </w:rPr>
        <w:t>glucocorticoidi</w:t>
      </w:r>
      <w:proofErr w:type="spellEnd"/>
      <w:r w:rsidR="00607A60" w:rsidRPr="00607A60">
        <w:rPr>
          <w:rFonts w:asciiTheme="minorHAnsi" w:eastAsiaTheme="minorHAnsi" w:hAnsiTheme="minorHAnsi" w:cs="Arial"/>
        </w:rPr>
        <w:t xml:space="preserve">. </w:t>
      </w:r>
    </w:p>
    <w:p w14:paraId="665B2A55" w14:textId="77777777" w:rsidR="00C77C09" w:rsidRDefault="00C77C09" w:rsidP="00607A60">
      <w:pPr>
        <w:pStyle w:val="Corpotesto"/>
        <w:jc w:val="both"/>
        <w:rPr>
          <w:rFonts w:asciiTheme="minorHAnsi" w:eastAsiaTheme="minorHAnsi" w:hAnsiTheme="minorHAnsi" w:cs="Arial"/>
        </w:rPr>
      </w:pPr>
    </w:p>
    <w:p w14:paraId="665B2A56" w14:textId="77777777" w:rsidR="004B5B15" w:rsidRDefault="004B5B15" w:rsidP="00EF6711">
      <w:pPr>
        <w:spacing w:after="0" w:line="240" w:lineRule="auto"/>
        <w:jc w:val="both"/>
        <w:rPr>
          <w:highlight w:val="cyan"/>
        </w:rPr>
      </w:pPr>
    </w:p>
    <w:p w14:paraId="665B2A57" w14:textId="77777777" w:rsidR="004E5A39" w:rsidRPr="00EF6711" w:rsidRDefault="004E5A39" w:rsidP="00EF6711">
      <w:pPr>
        <w:pStyle w:val="Paragrafoelenco"/>
        <w:spacing w:after="0" w:line="240" w:lineRule="auto"/>
        <w:ind w:left="0"/>
        <w:jc w:val="both"/>
        <w:rPr>
          <w:b/>
        </w:rPr>
      </w:pPr>
      <w:r w:rsidRPr="00EF6711">
        <w:rPr>
          <w:b/>
        </w:rPr>
        <w:t>Piano di Valutazione del Rischio (</w:t>
      </w:r>
      <w:proofErr w:type="spellStart"/>
      <w:r w:rsidRPr="00EF6711">
        <w:rPr>
          <w:b/>
          <w:i/>
        </w:rPr>
        <w:t>Risk</w:t>
      </w:r>
      <w:proofErr w:type="spellEnd"/>
      <w:r w:rsidRPr="00EF6711">
        <w:rPr>
          <w:b/>
          <w:i/>
        </w:rPr>
        <w:t xml:space="preserve"> Management Plan</w:t>
      </w:r>
      <w:r w:rsidRPr="00EF6711">
        <w:rPr>
          <w:b/>
        </w:rPr>
        <w:t xml:space="preserve"> - RMP)</w:t>
      </w:r>
    </w:p>
    <w:p w14:paraId="665B2A58" w14:textId="57DFBAB6" w:rsidR="004E5A39" w:rsidRPr="00EF6711" w:rsidRDefault="00103584" w:rsidP="00EF6711">
      <w:pPr>
        <w:pStyle w:val="Paragrafoelenco"/>
        <w:spacing w:after="0" w:line="240" w:lineRule="auto"/>
        <w:ind w:left="0"/>
        <w:jc w:val="both"/>
      </w:pPr>
      <w:r w:rsidRPr="00EF6711">
        <w:t>È</w:t>
      </w:r>
      <w:r w:rsidR="004E5A39" w:rsidRPr="00EF6711">
        <w:t xml:space="preserve"> stato presentato un RMP in accordo a quanto previsto dalla Direttiva 2001/83/EU </w:t>
      </w:r>
      <w:proofErr w:type="spellStart"/>
      <w:r w:rsidR="004E5A39" w:rsidRPr="00EF6711">
        <w:t>s.m.i.</w:t>
      </w:r>
      <w:proofErr w:type="spellEnd"/>
      <w:r w:rsidR="004E5A39" w:rsidRPr="00EF6711">
        <w:t xml:space="preserve"> che descrive le attività di farmacovigilanza e gli interventi definiti al fine di identificare, caratterizzare, prevenire o minimizzare i rischi collegati all’uso di </w:t>
      </w:r>
      <w:r w:rsidR="009D775A">
        <w:rPr>
          <w:rFonts w:eastAsia="Calibri" w:cs="Calibri"/>
          <w:color w:val="000000"/>
          <w:lang w:eastAsia="it-IT"/>
        </w:rPr>
        <w:t>VAPREDIS</w:t>
      </w:r>
      <w:r w:rsidR="004E5A39" w:rsidRPr="00EF6711">
        <w:t>.</w:t>
      </w:r>
    </w:p>
    <w:p w14:paraId="665B2A59" w14:textId="77777777" w:rsidR="00265B61" w:rsidRDefault="00265B61" w:rsidP="00265B61">
      <w:pPr>
        <w:pStyle w:val="Paragrafoelenco"/>
        <w:spacing w:after="0" w:line="240" w:lineRule="auto"/>
        <w:ind w:left="0"/>
        <w:jc w:val="both"/>
      </w:pPr>
      <w:r w:rsidRPr="008E4526">
        <w:t>Il riassunto delle problematiche di sicurezza è riportato nella tabella seguente.</w:t>
      </w:r>
    </w:p>
    <w:p w14:paraId="665B2A5A" w14:textId="77777777" w:rsidR="00265B61" w:rsidRPr="008E4526" w:rsidRDefault="00265B61" w:rsidP="00265B61">
      <w:pPr>
        <w:pStyle w:val="Paragrafoelenco"/>
        <w:spacing w:after="0" w:line="240" w:lineRule="auto"/>
        <w:ind w:left="0"/>
        <w:jc w:val="both"/>
      </w:pPr>
    </w:p>
    <w:tbl>
      <w:tblPr>
        <w:tblW w:w="3162" w:type="pct"/>
        <w:jc w:val="cente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ayout w:type="fixed"/>
        <w:tblLook w:val="05E0" w:firstRow="1" w:lastRow="1" w:firstColumn="1" w:lastColumn="1" w:noHBand="0" w:noVBand="1"/>
      </w:tblPr>
      <w:tblGrid>
        <w:gridCol w:w="2732"/>
        <w:gridCol w:w="3500"/>
      </w:tblGrid>
      <w:tr w:rsidR="00265B61" w:rsidRPr="001810E1" w14:paraId="665B2A5D" w14:textId="77777777" w:rsidTr="00071D59">
        <w:trPr>
          <w:jc w:val="center"/>
        </w:trPr>
        <w:tc>
          <w:tcPr>
            <w:tcW w:w="2192" w:type="pct"/>
            <w:shd w:val="clear" w:color="auto" w:fill="auto"/>
          </w:tcPr>
          <w:p w14:paraId="665B2A5B"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Rischi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identificati</w:t>
            </w:r>
            <w:proofErr w:type="spellEnd"/>
          </w:p>
        </w:tc>
        <w:tc>
          <w:tcPr>
            <w:tcW w:w="2808" w:type="pct"/>
            <w:shd w:val="clear" w:color="auto" w:fill="auto"/>
          </w:tcPr>
          <w:p w14:paraId="665B2A5C" w14:textId="77777777" w:rsidR="00265B61" w:rsidRPr="00BE7CDB" w:rsidRDefault="00071D59" w:rsidP="00BE7CDB">
            <w:pPr>
              <w:spacing w:after="0" w:line="240" w:lineRule="auto"/>
              <w:rPr>
                <w:sz w:val="20"/>
              </w:rPr>
            </w:pPr>
            <w:r>
              <w:rPr>
                <w:sz w:val="20"/>
              </w:rPr>
              <w:t>Nessuno</w:t>
            </w:r>
          </w:p>
        </w:tc>
      </w:tr>
      <w:tr w:rsidR="00265B61" w:rsidRPr="001810E1" w14:paraId="665B2A60" w14:textId="77777777" w:rsidTr="00071D59">
        <w:trPr>
          <w:jc w:val="center"/>
        </w:trPr>
        <w:tc>
          <w:tcPr>
            <w:tcW w:w="2192" w:type="pct"/>
            <w:tcBorders>
              <w:top w:val="single" w:sz="6" w:space="0" w:color="auto"/>
              <w:left w:val="single" w:sz="4" w:space="0" w:color="auto"/>
              <w:bottom w:val="single" w:sz="6" w:space="0" w:color="auto"/>
              <w:right w:val="single" w:sz="6" w:space="0" w:color="auto"/>
            </w:tcBorders>
            <w:shd w:val="clear" w:color="auto" w:fill="auto"/>
          </w:tcPr>
          <w:p w14:paraId="665B2A5E"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Rischi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importanti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potenziali</w:t>
            </w:r>
            <w:proofErr w:type="spellEnd"/>
          </w:p>
        </w:tc>
        <w:tc>
          <w:tcPr>
            <w:tcW w:w="2808" w:type="pct"/>
            <w:tcBorders>
              <w:top w:val="single" w:sz="6" w:space="0" w:color="auto"/>
              <w:left w:val="single" w:sz="6" w:space="0" w:color="auto"/>
              <w:bottom w:val="single" w:sz="6" w:space="0" w:color="auto"/>
              <w:right w:val="single" w:sz="4" w:space="0" w:color="auto"/>
            </w:tcBorders>
            <w:shd w:val="clear" w:color="auto" w:fill="auto"/>
          </w:tcPr>
          <w:p w14:paraId="665B2A5F" w14:textId="77777777" w:rsidR="00265B61" w:rsidRPr="00BE7CDB" w:rsidRDefault="00071D59" w:rsidP="00BE7CDB">
            <w:pPr>
              <w:spacing w:after="0" w:line="240" w:lineRule="auto"/>
              <w:rPr>
                <w:sz w:val="20"/>
                <w:szCs w:val="20"/>
                <w:lang w:eastAsia="en-GB"/>
              </w:rPr>
            </w:pPr>
            <w:r>
              <w:rPr>
                <w:sz w:val="20"/>
              </w:rPr>
              <w:t>Nessuno</w:t>
            </w:r>
          </w:p>
        </w:tc>
      </w:tr>
      <w:tr w:rsidR="00265B61" w:rsidRPr="00474E7B" w14:paraId="665B2A63" w14:textId="77777777" w:rsidTr="00071D59">
        <w:trPr>
          <w:jc w:val="center"/>
        </w:trPr>
        <w:tc>
          <w:tcPr>
            <w:tcW w:w="2192" w:type="pct"/>
            <w:tcBorders>
              <w:top w:val="single" w:sz="6" w:space="0" w:color="auto"/>
              <w:left w:val="single" w:sz="4" w:space="0" w:color="auto"/>
              <w:bottom w:val="single" w:sz="4" w:space="0" w:color="auto"/>
              <w:right w:val="single" w:sz="6" w:space="0" w:color="auto"/>
            </w:tcBorders>
            <w:shd w:val="clear" w:color="auto" w:fill="auto"/>
          </w:tcPr>
          <w:p w14:paraId="665B2A61" w14:textId="77777777" w:rsidR="00265B61" w:rsidRPr="002A63F2" w:rsidRDefault="00265B61" w:rsidP="0042214D">
            <w:pPr>
              <w:pStyle w:val="TabletextrowsAgency"/>
              <w:spacing w:line="240" w:lineRule="auto"/>
              <w:jc w:val="both"/>
              <w:rPr>
                <w:rFonts w:asciiTheme="minorHAnsi" w:hAnsiTheme="minorHAnsi"/>
                <w:sz w:val="20"/>
                <w:szCs w:val="20"/>
                <w:lang w:eastAsia="en-GB"/>
              </w:rPr>
            </w:pPr>
            <w:proofErr w:type="spellStart"/>
            <w:r w:rsidRPr="002A63F2">
              <w:rPr>
                <w:rFonts w:asciiTheme="minorHAnsi" w:hAnsiTheme="minorHAnsi"/>
                <w:sz w:val="20"/>
                <w:szCs w:val="20"/>
                <w:lang w:eastAsia="en-GB"/>
              </w:rPr>
              <w:t>Informazioni</w:t>
            </w:r>
            <w:proofErr w:type="spellEnd"/>
            <w:r>
              <w:rPr>
                <w:rFonts w:asciiTheme="minorHAnsi" w:hAnsiTheme="minorHAnsi"/>
                <w:sz w:val="20"/>
                <w:szCs w:val="20"/>
                <w:lang w:eastAsia="en-GB"/>
              </w:rPr>
              <w:t xml:space="preserve"> </w:t>
            </w:r>
            <w:proofErr w:type="spellStart"/>
            <w:r w:rsidRPr="002A63F2">
              <w:rPr>
                <w:rFonts w:asciiTheme="minorHAnsi" w:hAnsiTheme="minorHAnsi"/>
                <w:sz w:val="20"/>
                <w:szCs w:val="20"/>
                <w:lang w:eastAsia="en-GB"/>
              </w:rPr>
              <w:t>mancanti</w:t>
            </w:r>
            <w:proofErr w:type="spellEnd"/>
          </w:p>
        </w:tc>
        <w:tc>
          <w:tcPr>
            <w:tcW w:w="2808" w:type="pct"/>
            <w:tcBorders>
              <w:top w:val="single" w:sz="6" w:space="0" w:color="auto"/>
              <w:left w:val="single" w:sz="6" w:space="0" w:color="auto"/>
              <w:bottom w:val="single" w:sz="4" w:space="0" w:color="auto"/>
              <w:right w:val="single" w:sz="4" w:space="0" w:color="auto"/>
            </w:tcBorders>
            <w:shd w:val="clear" w:color="auto" w:fill="auto"/>
          </w:tcPr>
          <w:p w14:paraId="665B2A62" w14:textId="77777777" w:rsidR="00265B61" w:rsidRPr="00BE7CDB" w:rsidRDefault="00071D59" w:rsidP="00BE7CDB">
            <w:pPr>
              <w:spacing w:after="0" w:line="240" w:lineRule="auto"/>
              <w:rPr>
                <w:sz w:val="20"/>
              </w:rPr>
            </w:pPr>
            <w:r>
              <w:rPr>
                <w:sz w:val="20"/>
              </w:rPr>
              <w:t>Nessuno</w:t>
            </w:r>
          </w:p>
        </w:tc>
      </w:tr>
    </w:tbl>
    <w:p w14:paraId="665B2A64" w14:textId="77777777" w:rsidR="00265B61" w:rsidRPr="007C482D" w:rsidRDefault="00265B61" w:rsidP="00265B61">
      <w:pPr>
        <w:pStyle w:val="Paragrafoelenco"/>
        <w:spacing w:after="0" w:line="240" w:lineRule="auto"/>
        <w:ind w:left="0"/>
        <w:jc w:val="both"/>
        <w:rPr>
          <w:highlight w:val="yellow"/>
        </w:rPr>
      </w:pPr>
    </w:p>
    <w:p w14:paraId="665B2A65" w14:textId="77777777" w:rsidR="004E5A39" w:rsidRPr="00EF6711" w:rsidRDefault="004E5A39" w:rsidP="00EF6711">
      <w:pPr>
        <w:pStyle w:val="Paragrafoelenco"/>
        <w:spacing w:after="0" w:line="240" w:lineRule="auto"/>
        <w:ind w:left="0"/>
        <w:jc w:val="both"/>
      </w:pPr>
      <w:r w:rsidRPr="00EF6711">
        <w:t>Azioni routinarie di farmacovigilanza e di minimizzazione del rischio sono proposte per tutte le problematiche di sicurezza.</w:t>
      </w:r>
    </w:p>
    <w:p w14:paraId="665B2A66" w14:textId="77777777" w:rsidR="00461D93" w:rsidRDefault="004E5A39" w:rsidP="009254CC">
      <w:pPr>
        <w:spacing w:after="0" w:line="240" w:lineRule="auto"/>
        <w:jc w:val="both"/>
      </w:pPr>
      <w:r w:rsidRPr="00EF6711">
        <w:t>Oltre le misure previste nel Riassunto delle caratteristiche del prodotto non sono previste attività addizionali di minimizzazione del rischio</w:t>
      </w:r>
      <w:r w:rsidR="009254CC">
        <w:t xml:space="preserve">. </w:t>
      </w:r>
    </w:p>
    <w:p w14:paraId="665B2A67" w14:textId="77777777" w:rsidR="004E5A39" w:rsidRDefault="004E5A39" w:rsidP="00EF6711">
      <w:pPr>
        <w:pStyle w:val="Paragrafoelenco"/>
        <w:spacing w:after="0" w:line="240" w:lineRule="auto"/>
        <w:ind w:left="0"/>
        <w:jc w:val="both"/>
      </w:pPr>
    </w:p>
    <w:p w14:paraId="665B2A68" w14:textId="5E84F3BC" w:rsidR="009568D6" w:rsidRDefault="009254CC" w:rsidP="00EF6711">
      <w:pPr>
        <w:pStyle w:val="Paragrafoelenco"/>
        <w:spacing w:after="0" w:line="240" w:lineRule="auto"/>
        <w:ind w:left="0"/>
        <w:jc w:val="both"/>
      </w:pPr>
      <w:r>
        <w:t xml:space="preserve">Per maggiori dettagli circa le attività di farmacovigilanza previste per </w:t>
      </w:r>
      <w:r w:rsidR="009D775A">
        <w:rPr>
          <w:rFonts w:eastAsia="Calibri" w:cs="Calibri"/>
          <w:color w:val="000000"/>
          <w:lang w:eastAsia="it-IT"/>
        </w:rPr>
        <w:t>VAPREDIS</w:t>
      </w:r>
      <w:r w:rsidRPr="002D5520">
        <w:rPr>
          <w:rFonts w:eastAsia="Calibri" w:cs="Calibri"/>
          <w:color w:val="000000"/>
          <w:lang w:eastAsia="it-IT"/>
        </w:rPr>
        <w:t xml:space="preserve"> </w:t>
      </w:r>
      <w:r>
        <w:rPr>
          <w:rFonts w:eastAsia="Calibri" w:cs="Calibri"/>
          <w:color w:val="000000"/>
          <w:lang w:eastAsia="it-IT"/>
        </w:rPr>
        <w:t>si può consultare il</w:t>
      </w:r>
      <w:r>
        <w:t xml:space="preserve"> </w:t>
      </w:r>
      <w:r w:rsidR="009568D6">
        <w:t>“</w:t>
      </w:r>
      <w:proofErr w:type="spellStart"/>
      <w:r w:rsidR="009568D6">
        <w:t>Summary</w:t>
      </w:r>
      <w:proofErr w:type="spellEnd"/>
      <w:r w:rsidR="009568D6">
        <w:t xml:space="preserve"> </w:t>
      </w:r>
      <w:r>
        <w:t>RMP</w:t>
      </w:r>
      <w:r w:rsidR="009568D6">
        <w:t>” allegato.</w:t>
      </w:r>
    </w:p>
    <w:p w14:paraId="665B2A69" w14:textId="77777777" w:rsidR="004E5A39" w:rsidRPr="00EF6711" w:rsidRDefault="004E5A39" w:rsidP="00EF6711">
      <w:pPr>
        <w:pStyle w:val="Paragrafoelenco"/>
        <w:spacing w:after="0" w:line="240" w:lineRule="auto"/>
        <w:ind w:left="0"/>
        <w:jc w:val="both"/>
      </w:pPr>
    </w:p>
    <w:p w14:paraId="665B2A6A" w14:textId="77777777" w:rsidR="004E5A39" w:rsidRPr="00EF6711" w:rsidRDefault="004E5A39" w:rsidP="00EF6711">
      <w:pPr>
        <w:pStyle w:val="Paragrafoelenco"/>
        <w:spacing w:after="0" w:line="240" w:lineRule="auto"/>
        <w:ind w:left="0"/>
        <w:jc w:val="both"/>
        <w:rPr>
          <w:b/>
        </w:rPr>
      </w:pPr>
      <w:r w:rsidRPr="00EF6711">
        <w:rPr>
          <w:b/>
        </w:rPr>
        <w:t>Conclusioni</w:t>
      </w:r>
    </w:p>
    <w:p w14:paraId="665B2A6B" w14:textId="3CD1D06D" w:rsidR="004E5A39" w:rsidRPr="00EF6711" w:rsidRDefault="004E5A39" w:rsidP="00EF6711">
      <w:pPr>
        <w:pStyle w:val="Paragrafoelenco"/>
        <w:spacing w:after="0" w:line="240" w:lineRule="auto"/>
        <w:ind w:left="0"/>
        <w:jc w:val="both"/>
      </w:pPr>
      <w:r w:rsidRPr="00EF6711">
        <w:t xml:space="preserve">Per la richiesta di AIC di </w:t>
      </w:r>
      <w:r w:rsidR="009D775A">
        <w:rPr>
          <w:rFonts w:eastAsia="Calibri" w:cs="Calibri"/>
          <w:color w:val="000000"/>
          <w:lang w:eastAsia="it-IT"/>
        </w:rPr>
        <w:t>VAPREDIS</w:t>
      </w:r>
      <w:r w:rsidR="00BE7CDB">
        <w:rPr>
          <w:rFonts w:eastAsia="Calibri" w:cs="Calibri"/>
          <w:color w:val="000000"/>
          <w:lang w:eastAsia="it-IT"/>
        </w:rPr>
        <w:t xml:space="preserve"> </w:t>
      </w:r>
      <w:r w:rsidRPr="00EF6711">
        <w:t>sono state presentate sufficienti informazioni cliniche.</w:t>
      </w:r>
    </w:p>
    <w:p w14:paraId="665B2A6C" w14:textId="22768C6B" w:rsidR="004E5A39" w:rsidRPr="00EF6711" w:rsidRDefault="004E5A39" w:rsidP="00EF6711">
      <w:pPr>
        <w:pStyle w:val="Paragrafoelenco"/>
        <w:spacing w:after="0" w:line="240" w:lineRule="auto"/>
        <w:ind w:left="0"/>
        <w:jc w:val="both"/>
      </w:pPr>
      <w:r w:rsidRPr="00EF6711">
        <w:t xml:space="preserve">Il rapporto beneficio/rischio di </w:t>
      </w:r>
      <w:r w:rsidR="009D775A">
        <w:rPr>
          <w:rFonts w:eastAsia="Calibri" w:cs="Calibri"/>
          <w:color w:val="000000"/>
          <w:lang w:eastAsia="it-IT"/>
        </w:rPr>
        <w:t>VAPREDIS</w:t>
      </w:r>
      <w:r w:rsidR="00BE7CDB">
        <w:rPr>
          <w:rFonts w:eastAsia="Calibri" w:cs="Calibri"/>
          <w:color w:val="000000"/>
          <w:lang w:eastAsia="it-IT"/>
        </w:rPr>
        <w:t xml:space="preserve"> </w:t>
      </w:r>
      <w:r w:rsidRPr="00EF6711">
        <w:t>è considerato favorevole dal punto di vista clinico.</w:t>
      </w:r>
    </w:p>
    <w:p w14:paraId="665B2A6D" w14:textId="77777777" w:rsidR="00F35F38" w:rsidRPr="00EF6711" w:rsidRDefault="00F35F38" w:rsidP="00EF6711">
      <w:pPr>
        <w:pStyle w:val="Paragrafoelenco"/>
        <w:spacing w:after="0" w:line="240" w:lineRule="auto"/>
        <w:ind w:left="0"/>
        <w:jc w:val="both"/>
      </w:pPr>
    </w:p>
    <w:p w14:paraId="665B2A6E" w14:textId="77777777" w:rsidR="004E5A39" w:rsidRPr="00EF6711" w:rsidRDefault="004E5A39" w:rsidP="00EF6711">
      <w:pPr>
        <w:pStyle w:val="Paragrafoelenco"/>
        <w:spacing w:after="0" w:line="240" w:lineRule="auto"/>
        <w:ind w:left="0"/>
        <w:jc w:val="both"/>
      </w:pPr>
    </w:p>
    <w:p w14:paraId="665B2A6F" w14:textId="77777777" w:rsidR="004E5A39" w:rsidRPr="00164FA2" w:rsidRDefault="004E5A39" w:rsidP="00EF6711">
      <w:pPr>
        <w:pStyle w:val="Paragrafoelenco"/>
        <w:numPr>
          <w:ilvl w:val="0"/>
          <w:numId w:val="2"/>
        </w:numPr>
        <w:spacing w:after="0" w:line="240" w:lineRule="auto"/>
        <w:jc w:val="both"/>
        <w:rPr>
          <w:b/>
        </w:rPr>
      </w:pPr>
      <w:r w:rsidRPr="00164FA2">
        <w:rPr>
          <w:b/>
        </w:rPr>
        <w:t>CONSULTAZIONE SUL FOGLIO ILLUSTRATIVO</w:t>
      </w:r>
    </w:p>
    <w:p w14:paraId="665B2A70" w14:textId="77777777" w:rsidR="004E5A39" w:rsidRPr="00EF6711" w:rsidRDefault="004E5A39" w:rsidP="00EF6711">
      <w:pPr>
        <w:spacing w:after="0" w:line="240" w:lineRule="auto"/>
        <w:jc w:val="both"/>
      </w:pPr>
      <w:r w:rsidRPr="00164FA2">
        <w:t xml:space="preserve">Il foglio illustrativo è stato sottoposto al test di leggibilità in accordo ai requisiti dell’art. 59(3) e 61(1) della direttiva 2001/83/EU </w:t>
      </w:r>
      <w:proofErr w:type="spellStart"/>
      <w:r w:rsidRPr="00164FA2">
        <w:t>s.m.i.</w:t>
      </w:r>
      <w:proofErr w:type="spellEnd"/>
      <w:r w:rsidRPr="00164FA2">
        <w:t xml:space="preserve"> i risultati del test hanno dimostrato che il foglio illustrativo corrisponde ai criteri imposti dalla linea guida sulla leggibilità di etichetta e foglio illustrativo dei medicinali per uso umano.</w:t>
      </w:r>
    </w:p>
    <w:p w14:paraId="665B2A71" w14:textId="77777777" w:rsidR="004631F3" w:rsidRPr="00EF6711" w:rsidRDefault="004631F3" w:rsidP="00EF6711">
      <w:pPr>
        <w:pStyle w:val="Paragrafoelenco"/>
        <w:spacing w:after="0" w:line="240" w:lineRule="auto"/>
        <w:ind w:left="0"/>
        <w:jc w:val="both"/>
      </w:pPr>
    </w:p>
    <w:p w14:paraId="665B2A72" w14:textId="77777777" w:rsidR="004E5A39" w:rsidRPr="00EF6711" w:rsidRDefault="004E5A39" w:rsidP="00EF6711">
      <w:pPr>
        <w:spacing w:after="0" w:line="240" w:lineRule="auto"/>
        <w:jc w:val="both"/>
      </w:pPr>
    </w:p>
    <w:p w14:paraId="665B2A73" w14:textId="77777777" w:rsidR="004E5A39" w:rsidRPr="006E4266" w:rsidRDefault="004E5A39" w:rsidP="00EF6711">
      <w:pPr>
        <w:pStyle w:val="Paragrafoelenco"/>
        <w:numPr>
          <w:ilvl w:val="0"/>
          <w:numId w:val="2"/>
        </w:numPr>
        <w:spacing w:after="0" w:line="240" w:lineRule="auto"/>
        <w:jc w:val="both"/>
        <w:rPr>
          <w:b/>
        </w:rPr>
      </w:pPr>
      <w:r w:rsidRPr="006E4266">
        <w:rPr>
          <w:b/>
        </w:rPr>
        <w:t>CONCLUSIONI, VALUTAZIONE DEL RAPPORTO BENEFICIO/RISCHIO E RACCOMANDAZIONI</w:t>
      </w:r>
    </w:p>
    <w:p w14:paraId="665B2A74" w14:textId="4626835A" w:rsidR="004E5A39" w:rsidRDefault="004E5A39" w:rsidP="00EF6711">
      <w:pPr>
        <w:spacing w:after="0" w:line="240" w:lineRule="auto"/>
        <w:jc w:val="both"/>
      </w:pPr>
      <w:r w:rsidRPr="006E4266">
        <w:t xml:space="preserve">La qualità di </w:t>
      </w:r>
      <w:r w:rsidR="009D775A">
        <w:rPr>
          <w:rFonts w:eastAsia="Calibri" w:cs="Calibri"/>
          <w:color w:val="000000"/>
          <w:lang w:eastAsia="it-IT"/>
        </w:rPr>
        <w:t>VAPREDIS</w:t>
      </w:r>
      <w:r w:rsidR="00BE7CDB" w:rsidRPr="006E4266">
        <w:rPr>
          <w:rFonts w:eastAsia="Calibri" w:cs="Calibri"/>
          <w:color w:val="000000"/>
          <w:lang w:eastAsia="it-IT"/>
        </w:rPr>
        <w:t xml:space="preserve"> </w:t>
      </w:r>
      <w:r w:rsidRPr="006E4266">
        <w:t>è accettabile e non sono state rilevate criticità da un punto di vista non clinico e clinico.</w:t>
      </w:r>
    </w:p>
    <w:p w14:paraId="665B2A75" w14:textId="77777777" w:rsidR="00071E63" w:rsidRDefault="00071E63" w:rsidP="00EF6711">
      <w:pPr>
        <w:spacing w:after="0" w:line="240" w:lineRule="auto"/>
        <w:jc w:val="both"/>
      </w:pPr>
    </w:p>
    <w:p w14:paraId="665B2A76" w14:textId="1A28AC70" w:rsidR="00BE7CDB" w:rsidRDefault="00BE7CDB" w:rsidP="00BE7CDB">
      <w:pPr>
        <w:spacing w:after="0" w:line="240" w:lineRule="auto"/>
        <w:jc w:val="both"/>
      </w:pPr>
      <w:r>
        <w:t xml:space="preserve">Lo studio di </w:t>
      </w:r>
      <w:proofErr w:type="spellStart"/>
      <w:r>
        <w:t>bioequivalenza</w:t>
      </w:r>
      <w:proofErr w:type="spellEnd"/>
      <w:r>
        <w:t xml:space="preserve"> e le sue conclusioni confermano che </w:t>
      </w:r>
      <w:r w:rsidR="009D775A">
        <w:rPr>
          <w:rFonts w:eastAsia="Calibri" w:cs="Calibri"/>
          <w:color w:val="000000"/>
          <w:lang w:eastAsia="it-IT"/>
        </w:rPr>
        <w:t>VAPREDIS</w:t>
      </w:r>
      <w:r w:rsidR="00071E63">
        <w:rPr>
          <w:rFonts w:eastAsia="Calibri" w:cs="Calibri"/>
          <w:color w:val="000000"/>
          <w:lang w:eastAsia="it-IT"/>
        </w:rPr>
        <w:t xml:space="preserve"> </w:t>
      </w:r>
      <w:r>
        <w:t xml:space="preserve">e il medicinale di riferimento </w:t>
      </w:r>
      <w:r w:rsidR="000C2133">
        <w:t xml:space="preserve">DECORTIN </w:t>
      </w:r>
      <w:r w:rsidR="00F90F1F">
        <w:t xml:space="preserve">sono </w:t>
      </w:r>
      <w:proofErr w:type="spellStart"/>
      <w:r w:rsidR="00F90F1F">
        <w:t>bioequivalenti</w:t>
      </w:r>
      <w:proofErr w:type="spellEnd"/>
      <w:r>
        <w:t>.</w:t>
      </w:r>
    </w:p>
    <w:p w14:paraId="665B2A77" w14:textId="77777777" w:rsidR="00071E63" w:rsidRDefault="00071E63" w:rsidP="00EF6711">
      <w:pPr>
        <w:spacing w:after="0" w:line="240" w:lineRule="auto"/>
        <w:jc w:val="both"/>
      </w:pPr>
    </w:p>
    <w:p w14:paraId="665B2A78" w14:textId="3D71EE85" w:rsidR="004E5A39" w:rsidRPr="00EF6711" w:rsidRDefault="004E5A39" w:rsidP="00EF6711">
      <w:pPr>
        <w:spacing w:after="0" w:line="240" w:lineRule="auto"/>
        <w:jc w:val="both"/>
      </w:pPr>
      <w:r w:rsidRPr="00EF6711">
        <w:t xml:space="preserve">Il rapporto beneficio/rischio </w:t>
      </w:r>
      <w:r w:rsidR="00071E63">
        <w:t xml:space="preserve">di </w:t>
      </w:r>
      <w:r w:rsidR="009D775A">
        <w:rPr>
          <w:rFonts w:eastAsia="Calibri" w:cs="Calibri"/>
          <w:color w:val="000000"/>
          <w:lang w:eastAsia="it-IT"/>
        </w:rPr>
        <w:t>VAPREDIS</w:t>
      </w:r>
      <w:r w:rsidR="00071E63">
        <w:rPr>
          <w:rFonts w:eastAsia="Calibri" w:cs="Calibri"/>
          <w:color w:val="000000"/>
          <w:lang w:eastAsia="it-IT"/>
        </w:rPr>
        <w:t xml:space="preserve"> </w:t>
      </w:r>
      <w:r w:rsidRPr="00EF6711">
        <w:t xml:space="preserve">è considerato </w:t>
      </w:r>
      <w:r w:rsidR="00071E63">
        <w:t>favorevole per l’autorizzazione all’immis</w:t>
      </w:r>
      <w:r w:rsidR="00997F05">
        <w:t>s</w:t>
      </w:r>
      <w:r w:rsidR="00071E63">
        <w:t>ione in commercio</w:t>
      </w:r>
      <w:r w:rsidRPr="00EF6711">
        <w:t>.</w:t>
      </w:r>
    </w:p>
    <w:p w14:paraId="665B2A79" w14:textId="77777777" w:rsidR="00071E63" w:rsidRDefault="004E5A39" w:rsidP="00EF6711">
      <w:pPr>
        <w:spacing w:after="0" w:line="240" w:lineRule="auto"/>
        <w:jc w:val="both"/>
      </w:pPr>
      <w:r w:rsidRPr="00EF6711">
        <w:lastRenderedPageBreak/>
        <w:t xml:space="preserve">Il riassunto delle caratteristiche del prodotto, il foglio illustrativo e le etichette sono in linea con le </w:t>
      </w:r>
      <w:r w:rsidR="00071E63">
        <w:t>vigenti</w:t>
      </w:r>
      <w:r w:rsidR="00071E63" w:rsidRPr="00EF6711">
        <w:t xml:space="preserve"> </w:t>
      </w:r>
      <w:r w:rsidRPr="00EF6711">
        <w:t>linee guida</w:t>
      </w:r>
      <w:r w:rsidR="00071E63">
        <w:t xml:space="preserve"> e raccomandazioni italiane ed europee</w:t>
      </w:r>
      <w:r w:rsidRPr="00EF6711">
        <w:t xml:space="preserve">. </w:t>
      </w:r>
    </w:p>
    <w:p w14:paraId="665B2A7A" w14:textId="6F5D7B89" w:rsidR="00CE62A1" w:rsidRDefault="004E5A39" w:rsidP="00EF6711">
      <w:pPr>
        <w:spacing w:after="0" w:line="240" w:lineRule="auto"/>
        <w:jc w:val="both"/>
        <w:rPr>
          <w:rFonts w:eastAsia="Calibri" w:cs="Calibri"/>
          <w:lang w:eastAsia="it-IT"/>
        </w:rPr>
      </w:pPr>
      <w:r w:rsidRPr="00EF6711">
        <w:t xml:space="preserve">Questi documenti possono essere consultati sul sito istituzionale di AIFA </w:t>
      </w:r>
      <w:r w:rsidRPr="00EF6711">
        <w:rPr>
          <w:rFonts w:eastAsia="Calibri" w:cs="Calibri"/>
          <w:lang w:eastAsia="it-IT"/>
        </w:rPr>
        <w:t>(</w:t>
      </w:r>
      <w:r w:rsidR="00362238" w:rsidRPr="00362238">
        <w:t>https://medicinali.aifa.gov.it/</w:t>
      </w:r>
      <w:r w:rsidRPr="00EF6711">
        <w:rPr>
          <w:rFonts w:eastAsia="Calibri" w:cs="Calibri"/>
          <w:lang w:eastAsia="it-IT"/>
        </w:rPr>
        <w:t>).</w:t>
      </w:r>
    </w:p>
    <w:p w14:paraId="665B2A7B" w14:textId="77777777" w:rsidR="006B311C" w:rsidRDefault="006B311C" w:rsidP="00EF6711">
      <w:pPr>
        <w:spacing w:after="0" w:line="240" w:lineRule="auto"/>
        <w:jc w:val="both"/>
        <w:rPr>
          <w:rFonts w:eastAsia="Calibri" w:cs="Calibri"/>
          <w:lang w:eastAsia="it-IT"/>
        </w:rPr>
      </w:pPr>
    </w:p>
    <w:sectPr w:rsidR="006B311C" w:rsidSect="00EF6711">
      <w:footerReference w:type="default" r:id="rId10"/>
      <w:pgSz w:w="11906" w:h="16838"/>
      <w:pgMar w:top="1418" w:right="1021" w:bottom="1021" w:left="1021" w:header="709" w:footer="709" w:gutter="0"/>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11A7C233" w16cex:dateUtc="2024-10-24T14:42: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A9A3168" w16cid:durableId="11A7C23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A5BA4F1" w14:textId="77777777" w:rsidR="009D4A79" w:rsidRDefault="009D4A79" w:rsidP="00C07183">
      <w:pPr>
        <w:spacing w:after="0" w:line="240" w:lineRule="auto"/>
      </w:pPr>
      <w:r>
        <w:separator/>
      </w:r>
    </w:p>
  </w:endnote>
  <w:endnote w:type="continuationSeparator" w:id="0">
    <w:p w14:paraId="71BAA4FF" w14:textId="77777777" w:rsidR="009D4A79" w:rsidRDefault="009D4A79" w:rsidP="00C0718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00006FF" w:usb1="4000205B" w:usb2="00000010" w:usb3="00000000" w:csb0="0000019F" w:csb1="00000000"/>
  </w:font>
  <w:font w:name="Helvetica">
    <w:panose1 w:val="020B0604020202020204"/>
    <w:charset w:val="00"/>
    <w:family w:val="swiss"/>
    <w:pitch w:val="variable"/>
    <w:sig w:usb0="E0002EFF" w:usb1="C0007843" w:usb2="00000009" w:usb3="00000000" w:csb0="000001FF" w:csb1="00000000"/>
  </w:font>
  <w:font w:name="DejaVuSans">
    <w:altName w:val="MS Mincho"/>
    <w:panose1 w:val="00000000000000000000"/>
    <w:charset w:val="80"/>
    <w:family w:val="auto"/>
    <w:notTrueType/>
    <w:pitch w:val="default"/>
    <w:sig w:usb0="00000003" w:usb1="08070000" w:usb2="00000010" w:usb3="00000000" w:csb0="0002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5B2A86" w14:textId="77777777" w:rsidR="00F9785A" w:rsidRDefault="00F9785A">
    <w:pPr>
      <w:pStyle w:val="Pidipagina"/>
    </w:pPr>
    <w:r w:rsidRPr="00C07183">
      <w:rPr>
        <w:rFonts w:ascii="Times New Roman" w:eastAsia="Times New Roman" w:hAnsi="Times New Roman" w:cs="Times New Roman"/>
        <w:noProof/>
        <w:sz w:val="20"/>
        <w:szCs w:val="20"/>
        <w:lang w:eastAsia="it-IT"/>
      </w:rPr>
      <w:drawing>
        <wp:anchor distT="0" distB="0" distL="114300" distR="114300" simplePos="0" relativeHeight="251659264" behindDoc="0" locked="0" layoutInCell="1" allowOverlap="1" wp14:anchorId="665B2A87" wp14:editId="2C7BC4DE">
          <wp:simplePos x="0" y="0"/>
          <wp:positionH relativeFrom="column">
            <wp:posOffset>-739140</wp:posOffset>
          </wp:positionH>
          <wp:positionV relativeFrom="paragraph">
            <wp:posOffset>174254</wp:posOffset>
          </wp:positionV>
          <wp:extent cx="7571740" cy="800100"/>
          <wp:effectExtent l="0" t="0" r="0" b="0"/>
          <wp:wrapSquare wrapText="bothSides"/>
          <wp:docPr id="2" name="Immagin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71740" cy="800100"/>
                  </a:xfrm>
                  <a:prstGeom prst="rect">
                    <a:avLst/>
                  </a:prstGeom>
                  <a:noFill/>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3FF63A7" w14:textId="77777777" w:rsidR="009D4A79" w:rsidRDefault="009D4A79" w:rsidP="00C07183">
      <w:pPr>
        <w:spacing w:after="0" w:line="240" w:lineRule="auto"/>
      </w:pPr>
      <w:r>
        <w:separator/>
      </w:r>
    </w:p>
  </w:footnote>
  <w:footnote w:type="continuationSeparator" w:id="0">
    <w:p w14:paraId="777E7CB3" w14:textId="77777777" w:rsidR="009D4A79" w:rsidRDefault="009D4A79" w:rsidP="00C0718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DF4235"/>
    <w:multiLevelType w:val="hybridMultilevel"/>
    <w:tmpl w:val="7004BCBC"/>
    <w:lvl w:ilvl="0" w:tplc="251626C4">
      <w:numFmt w:val="bullet"/>
      <w:lvlText w:val="-"/>
      <w:lvlJc w:val="left"/>
      <w:pPr>
        <w:ind w:left="726" w:hanging="567"/>
      </w:pPr>
      <w:rPr>
        <w:rFonts w:ascii="Times New Roman" w:eastAsia="Times New Roman" w:hAnsi="Times New Roman" w:cs="Times New Roman" w:hint="default"/>
        <w:w w:val="100"/>
        <w:lang w:val="de-DE" w:eastAsia="en-US" w:bidi="ar-SA"/>
      </w:rPr>
    </w:lvl>
    <w:lvl w:ilvl="1" w:tplc="9D30D662">
      <w:numFmt w:val="bullet"/>
      <w:lvlText w:val="-"/>
      <w:lvlJc w:val="left"/>
      <w:pPr>
        <w:ind w:left="1293" w:hanging="567"/>
      </w:pPr>
      <w:rPr>
        <w:rFonts w:ascii="Times New Roman" w:eastAsia="Times New Roman" w:hAnsi="Times New Roman" w:cs="Times New Roman" w:hint="default"/>
        <w:b w:val="0"/>
        <w:bCs w:val="0"/>
        <w:i w:val="0"/>
        <w:iCs w:val="0"/>
        <w:w w:val="100"/>
        <w:sz w:val="16"/>
        <w:szCs w:val="16"/>
        <w:lang w:val="de-DE" w:eastAsia="en-US" w:bidi="ar-SA"/>
      </w:rPr>
    </w:lvl>
    <w:lvl w:ilvl="2" w:tplc="2D989E1E">
      <w:numFmt w:val="bullet"/>
      <w:lvlText w:val="•"/>
      <w:lvlJc w:val="left"/>
      <w:pPr>
        <w:ind w:left="2217" w:hanging="567"/>
      </w:pPr>
      <w:rPr>
        <w:rFonts w:hint="default"/>
        <w:lang w:val="de-DE" w:eastAsia="en-US" w:bidi="ar-SA"/>
      </w:rPr>
    </w:lvl>
    <w:lvl w:ilvl="3" w:tplc="7F2EADFC">
      <w:numFmt w:val="bullet"/>
      <w:lvlText w:val="•"/>
      <w:lvlJc w:val="left"/>
      <w:pPr>
        <w:ind w:left="3135" w:hanging="567"/>
      </w:pPr>
      <w:rPr>
        <w:rFonts w:hint="default"/>
        <w:lang w:val="de-DE" w:eastAsia="en-US" w:bidi="ar-SA"/>
      </w:rPr>
    </w:lvl>
    <w:lvl w:ilvl="4" w:tplc="34946058">
      <w:numFmt w:val="bullet"/>
      <w:lvlText w:val="•"/>
      <w:lvlJc w:val="left"/>
      <w:pPr>
        <w:ind w:left="4053" w:hanging="567"/>
      </w:pPr>
      <w:rPr>
        <w:rFonts w:hint="default"/>
        <w:lang w:val="de-DE" w:eastAsia="en-US" w:bidi="ar-SA"/>
      </w:rPr>
    </w:lvl>
    <w:lvl w:ilvl="5" w:tplc="99606354">
      <w:numFmt w:val="bullet"/>
      <w:lvlText w:val="•"/>
      <w:lvlJc w:val="left"/>
      <w:pPr>
        <w:ind w:left="4971" w:hanging="567"/>
      </w:pPr>
      <w:rPr>
        <w:rFonts w:hint="default"/>
        <w:lang w:val="de-DE" w:eastAsia="en-US" w:bidi="ar-SA"/>
      </w:rPr>
    </w:lvl>
    <w:lvl w:ilvl="6" w:tplc="237A7944">
      <w:numFmt w:val="bullet"/>
      <w:lvlText w:val="•"/>
      <w:lvlJc w:val="left"/>
      <w:pPr>
        <w:ind w:left="5889" w:hanging="567"/>
      </w:pPr>
      <w:rPr>
        <w:rFonts w:hint="default"/>
        <w:lang w:val="de-DE" w:eastAsia="en-US" w:bidi="ar-SA"/>
      </w:rPr>
    </w:lvl>
    <w:lvl w:ilvl="7" w:tplc="A872BABA">
      <w:numFmt w:val="bullet"/>
      <w:lvlText w:val="•"/>
      <w:lvlJc w:val="left"/>
      <w:pPr>
        <w:ind w:left="6807" w:hanging="567"/>
      </w:pPr>
      <w:rPr>
        <w:rFonts w:hint="default"/>
        <w:lang w:val="de-DE" w:eastAsia="en-US" w:bidi="ar-SA"/>
      </w:rPr>
    </w:lvl>
    <w:lvl w:ilvl="8" w:tplc="ECDC6B14">
      <w:numFmt w:val="bullet"/>
      <w:lvlText w:val="•"/>
      <w:lvlJc w:val="left"/>
      <w:pPr>
        <w:ind w:left="7725" w:hanging="567"/>
      </w:pPr>
      <w:rPr>
        <w:rFonts w:hint="default"/>
        <w:lang w:val="de-DE" w:eastAsia="en-US" w:bidi="ar-SA"/>
      </w:rPr>
    </w:lvl>
  </w:abstractNum>
  <w:abstractNum w:abstractNumId="1" w15:restartNumberingAfterBreak="0">
    <w:nsid w:val="243011A1"/>
    <w:multiLevelType w:val="hybridMultilevel"/>
    <w:tmpl w:val="1730E342"/>
    <w:lvl w:ilvl="0" w:tplc="C516861A">
      <w:start w:val="1"/>
      <w:numFmt w:val="upperRoman"/>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15:restartNumberingAfterBreak="0">
    <w:nsid w:val="2AB2382E"/>
    <w:multiLevelType w:val="hybridMultilevel"/>
    <w:tmpl w:val="F554422C"/>
    <w:lvl w:ilvl="0" w:tplc="0C789386">
      <w:start w:val="1"/>
      <w:numFmt w:val="bullet"/>
      <w:lvlText w:val=""/>
      <w:lvlJc w:val="left"/>
      <w:pPr>
        <w:ind w:left="720" w:hanging="360"/>
      </w:pPr>
      <w:rPr>
        <w:rFonts w:ascii="Symbol" w:eastAsia="Calibri" w:hAnsi="Symbol" w:cs="Calibri" w:hint="default"/>
        <w:b w:val="0"/>
        <w:color w:val="auto"/>
        <w:sz w:val="18"/>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3503624C"/>
    <w:multiLevelType w:val="hybridMultilevel"/>
    <w:tmpl w:val="8604BA56"/>
    <w:lvl w:ilvl="0" w:tplc="4A48F9D2">
      <w:start w:val="1"/>
      <w:numFmt w:val="bullet"/>
      <w:lvlText w:val="-"/>
      <w:lvlJc w:val="left"/>
      <w:pPr>
        <w:ind w:left="720" w:hanging="360"/>
      </w:pPr>
      <w:rPr>
        <w:rFonts w:ascii="Calibri" w:eastAsia="Times New Roman" w:hAnsi="Calibri"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4A891CF4"/>
    <w:multiLevelType w:val="hybridMultilevel"/>
    <w:tmpl w:val="8F2AE9FA"/>
    <w:lvl w:ilvl="0" w:tplc="FC389974">
      <w:start w:val="1"/>
      <w:numFmt w:val="upperRoman"/>
      <w:lvlText w:val="%1."/>
      <w:lvlJc w:val="left"/>
      <w:pPr>
        <w:ind w:left="1800" w:hanging="720"/>
      </w:pPr>
      <w:rPr>
        <w:rFonts w:hint="default"/>
      </w:rPr>
    </w:lvl>
    <w:lvl w:ilvl="1" w:tplc="04100019" w:tentative="1">
      <w:start w:val="1"/>
      <w:numFmt w:val="lowerLetter"/>
      <w:lvlText w:val="%2."/>
      <w:lvlJc w:val="left"/>
      <w:pPr>
        <w:ind w:left="2160" w:hanging="360"/>
      </w:pPr>
    </w:lvl>
    <w:lvl w:ilvl="2" w:tplc="0410001B" w:tentative="1">
      <w:start w:val="1"/>
      <w:numFmt w:val="lowerRoman"/>
      <w:lvlText w:val="%3."/>
      <w:lvlJc w:val="right"/>
      <w:pPr>
        <w:ind w:left="2880" w:hanging="180"/>
      </w:pPr>
    </w:lvl>
    <w:lvl w:ilvl="3" w:tplc="0410000F" w:tentative="1">
      <w:start w:val="1"/>
      <w:numFmt w:val="decimal"/>
      <w:lvlText w:val="%4."/>
      <w:lvlJc w:val="left"/>
      <w:pPr>
        <w:ind w:left="3600" w:hanging="360"/>
      </w:pPr>
    </w:lvl>
    <w:lvl w:ilvl="4" w:tplc="04100019" w:tentative="1">
      <w:start w:val="1"/>
      <w:numFmt w:val="lowerLetter"/>
      <w:lvlText w:val="%5."/>
      <w:lvlJc w:val="left"/>
      <w:pPr>
        <w:ind w:left="4320" w:hanging="360"/>
      </w:pPr>
    </w:lvl>
    <w:lvl w:ilvl="5" w:tplc="0410001B" w:tentative="1">
      <w:start w:val="1"/>
      <w:numFmt w:val="lowerRoman"/>
      <w:lvlText w:val="%6."/>
      <w:lvlJc w:val="right"/>
      <w:pPr>
        <w:ind w:left="5040" w:hanging="180"/>
      </w:pPr>
    </w:lvl>
    <w:lvl w:ilvl="6" w:tplc="0410000F" w:tentative="1">
      <w:start w:val="1"/>
      <w:numFmt w:val="decimal"/>
      <w:lvlText w:val="%7."/>
      <w:lvlJc w:val="left"/>
      <w:pPr>
        <w:ind w:left="5760" w:hanging="360"/>
      </w:pPr>
    </w:lvl>
    <w:lvl w:ilvl="7" w:tplc="04100019" w:tentative="1">
      <w:start w:val="1"/>
      <w:numFmt w:val="lowerLetter"/>
      <w:lvlText w:val="%8."/>
      <w:lvlJc w:val="left"/>
      <w:pPr>
        <w:ind w:left="6480" w:hanging="360"/>
      </w:pPr>
    </w:lvl>
    <w:lvl w:ilvl="8" w:tplc="0410001B" w:tentative="1">
      <w:start w:val="1"/>
      <w:numFmt w:val="lowerRoman"/>
      <w:lvlText w:val="%9."/>
      <w:lvlJc w:val="right"/>
      <w:pPr>
        <w:ind w:left="7200" w:hanging="180"/>
      </w:pPr>
    </w:lvl>
  </w:abstractNum>
  <w:abstractNum w:abstractNumId="5" w15:restartNumberingAfterBreak="0">
    <w:nsid w:val="4E19499D"/>
    <w:multiLevelType w:val="hybridMultilevel"/>
    <w:tmpl w:val="F4ECB43E"/>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CE63AE5"/>
    <w:multiLevelType w:val="hybridMultilevel"/>
    <w:tmpl w:val="E99205FE"/>
    <w:lvl w:ilvl="0" w:tplc="D4045BA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5DEE34FB"/>
    <w:multiLevelType w:val="hybridMultilevel"/>
    <w:tmpl w:val="816436DE"/>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6D2E51EB"/>
    <w:multiLevelType w:val="hybridMultilevel"/>
    <w:tmpl w:val="F0C431A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6DB04291"/>
    <w:multiLevelType w:val="hybridMultilevel"/>
    <w:tmpl w:val="038668FA"/>
    <w:lvl w:ilvl="0" w:tplc="3B28DFA2">
      <w:numFmt w:val="bullet"/>
      <w:lvlText w:val="-"/>
      <w:lvlJc w:val="left"/>
      <w:pPr>
        <w:ind w:left="720" w:hanging="360"/>
      </w:pPr>
      <w:rPr>
        <w:rFonts w:ascii="Times New Roman" w:eastAsia="Times New Roman" w:hAnsi="Times New Roman" w:cs="Times New Roman" w:hint="default"/>
        <w:b w:val="0"/>
        <w:bCs w:val="0"/>
        <w:i w:val="0"/>
        <w:iCs w:val="0"/>
        <w:w w:val="100"/>
        <w:sz w:val="22"/>
        <w:szCs w:val="22"/>
        <w:lang w:val="de-DE" w:eastAsia="en-US" w:bidi="ar-SA"/>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4"/>
  </w:num>
  <w:num w:numId="3">
    <w:abstractNumId w:val="6"/>
  </w:num>
  <w:num w:numId="4">
    <w:abstractNumId w:val="3"/>
  </w:num>
  <w:num w:numId="5">
    <w:abstractNumId w:val="2"/>
  </w:num>
  <w:num w:numId="6">
    <w:abstractNumId w:val="5"/>
  </w:num>
  <w:num w:numId="7">
    <w:abstractNumId w:val="0"/>
  </w:num>
  <w:num w:numId="8">
    <w:abstractNumId w:val="7"/>
  </w:num>
  <w:num w:numId="9">
    <w:abstractNumId w:val="9"/>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241AC"/>
    <w:rsid w:val="00001177"/>
    <w:rsid w:val="00013020"/>
    <w:rsid w:val="00014743"/>
    <w:rsid w:val="00022511"/>
    <w:rsid w:val="00022F32"/>
    <w:rsid w:val="00023CEA"/>
    <w:rsid w:val="000314BB"/>
    <w:rsid w:val="00035DB7"/>
    <w:rsid w:val="00046C6A"/>
    <w:rsid w:val="00047CEA"/>
    <w:rsid w:val="00050F6A"/>
    <w:rsid w:val="00062636"/>
    <w:rsid w:val="00067BB3"/>
    <w:rsid w:val="00071D59"/>
    <w:rsid w:val="00071E63"/>
    <w:rsid w:val="000759F6"/>
    <w:rsid w:val="000808A3"/>
    <w:rsid w:val="00092B87"/>
    <w:rsid w:val="00096026"/>
    <w:rsid w:val="0009638F"/>
    <w:rsid w:val="000A4BA1"/>
    <w:rsid w:val="000B300F"/>
    <w:rsid w:val="000B7AC8"/>
    <w:rsid w:val="000C1389"/>
    <w:rsid w:val="000C2133"/>
    <w:rsid w:val="000C678B"/>
    <w:rsid w:val="000E1F86"/>
    <w:rsid w:val="000E4494"/>
    <w:rsid w:val="000E4A73"/>
    <w:rsid w:val="000F056B"/>
    <w:rsid w:val="000F2A63"/>
    <w:rsid w:val="000F658F"/>
    <w:rsid w:val="000F663E"/>
    <w:rsid w:val="00103584"/>
    <w:rsid w:val="00111E9E"/>
    <w:rsid w:val="00112B76"/>
    <w:rsid w:val="00115B79"/>
    <w:rsid w:val="00126BC8"/>
    <w:rsid w:val="00143B46"/>
    <w:rsid w:val="001460CA"/>
    <w:rsid w:val="00157A58"/>
    <w:rsid w:val="0016150B"/>
    <w:rsid w:val="00164FA2"/>
    <w:rsid w:val="00172AED"/>
    <w:rsid w:val="001A516D"/>
    <w:rsid w:val="001C15DF"/>
    <w:rsid w:val="001C4323"/>
    <w:rsid w:val="001F0D20"/>
    <w:rsid w:val="0021301F"/>
    <w:rsid w:val="0021736D"/>
    <w:rsid w:val="00221AB0"/>
    <w:rsid w:val="00226EA9"/>
    <w:rsid w:val="00245B04"/>
    <w:rsid w:val="00252FE8"/>
    <w:rsid w:val="00265B61"/>
    <w:rsid w:val="00277A0E"/>
    <w:rsid w:val="00283249"/>
    <w:rsid w:val="00283D6F"/>
    <w:rsid w:val="00297F10"/>
    <w:rsid w:val="002A1800"/>
    <w:rsid w:val="002A1E23"/>
    <w:rsid w:val="002A3AE6"/>
    <w:rsid w:val="002B4F37"/>
    <w:rsid w:val="002B662A"/>
    <w:rsid w:val="002C2D9F"/>
    <w:rsid w:val="002C387A"/>
    <w:rsid w:val="002E2495"/>
    <w:rsid w:val="002F2543"/>
    <w:rsid w:val="002F4000"/>
    <w:rsid w:val="00300BEA"/>
    <w:rsid w:val="003061E0"/>
    <w:rsid w:val="00313FE6"/>
    <w:rsid w:val="00314228"/>
    <w:rsid w:val="00315AD3"/>
    <w:rsid w:val="00316D93"/>
    <w:rsid w:val="00323648"/>
    <w:rsid w:val="003238CF"/>
    <w:rsid w:val="00332CA8"/>
    <w:rsid w:val="003362D8"/>
    <w:rsid w:val="00340DC4"/>
    <w:rsid w:val="0035457D"/>
    <w:rsid w:val="0035589B"/>
    <w:rsid w:val="003564AF"/>
    <w:rsid w:val="00360C53"/>
    <w:rsid w:val="00360DA8"/>
    <w:rsid w:val="00362238"/>
    <w:rsid w:val="00364517"/>
    <w:rsid w:val="00367CE0"/>
    <w:rsid w:val="00387CA8"/>
    <w:rsid w:val="00391A2D"/>
    <w:rsid w:val="003920D4"/>
    <w:rsid w:val="003970D4"/>
    <w:rsid w:val="003B0421"/>
    <w:rsid w:val="003C054E"/>
    <w:rsid w:val="003D2D8C"/>
    <w:rsid w:val="003D475A"/>
    <w:rsid w:val="003D4F6B"/>
    <w:rsid w:val="003E1E83"/>
    <w:rsid w:val="003F059C"/>
    <w:rsid w:val="003F78A4"/>
    <w:rsid w:val="004077DF"/>
    <w:rsid w:val="0041387F"/>
    <w:rsid w:val="004214DB"/>
    <w:rsid w:val="0042214D"/>
    <w:rsid w:val="00423A97"/>
    <w:rsid w:val="004241AC"/>
    <w:rsid w:val="00436BDE"/>
    <w:rsid w:val="00445DB2"/>
    <w:rsid w:val="004509BC"/>
    <w:rsid w:val="004532E2"/>
    <w:rsid w:val="00455780"/>
    <w:rsid w:val="004609F8"/>
    <w:rsid w:val="00461D93"/>
    <w:rsid w:val="004631F3"/>
    <w:rsid w:val="00471FEB"/>
    <w:rsid w:val="00474B47"/>
    <w:rsid w:val="004B20A8"/>
    <w:rsid w:val="004B5B15"/>
    <w:rsid w:val="004C017F"/>
    <w:rsid w:val="004D3FC1"/>
    <w:rsid w:val="004E28E5"/>
    <w:rsid w:val="004E460D"/>
    <w:rsid w:val="004E5A39"/>
    <w:rsid w:val="004E70F5"/>
    <w:rsid w:val="004F343B"/>
    <w:rsid w:val="00500ACA"/>
    <w:rsid w:val="005049A1"/>
    <w:rsid w:val="00504FC1"/>
    <w:rsid w:val="00512507"/>
    <w:rsid w:val="005151D8"/>
    <w:rsid w:val="005250B6"/>
    <w:rsid w:val="00541BC6"/>
    <w:rsid w:val="00542261"/>
    <w:rsid w:val="00544D7B"/>
    <w:rsid w:val="0056005A"/>
    <w:rsid w:val="0056372C"/>
    <w:rsid w:val="00567615"/>
    <w:rsid w:val="005744D4"/>
    <w:rsid w:val="00577746"/>
    <w:rsid w:val="00577DAC"/>
    <w:rsid w:val="0059465F"/>
    <w:rsid w:val="00594742"/>
    <w:rsid w:val="005950D6"/>
    <w:rsid w:val="005A466E"/>
    <w:rsid w:val="005A4BBD"/>
    <w:rsid w:val="005A7A68"/>
    <w:rsid w:val="005B4C97"/>
    <w:rsid w:val="005C020D"/>
    <w:rsid w:val="005C2427"/>
    <w:rsid w:val="005C4B11"/>
    <w:rsid w:val="005D18E5"/>
    <w:rsid w:val="005D36A0"/>
    <w:rsid w:val="005D476D"/>
    <w:rsid w:val="005F54B1"/>
    <w:rsid w:val="00607A60"/>
    <w:rsid w:val="00610BAB"/>
    <w:rsid w:val="00621A52"/>
    <w:rsid w:val="00621AE2"/>
    <w:rsid w:val="006231AC"/>
    <w:rsid w:val="006322A5"/>
    <w:rsid w:val="00642D6A"/>
    <w:rsid w:val="0064646C"/>
    <w:rsid w:val="00647AD5"/>
    <w:rsid w:val="00654D9E"/>
    <w:rsid w:val="006578FB"/>
    <w:rsid w:val="00657973"/>
    <w:rsid w:val="00662A6F"/>
    <w:rsid w:val="00662F20"/>
    <w:rsid w:val="00663BCD"/>
    <w:rsid w:val="00664931"/>
    <w:rsid w:val="00665F44"/>
    <w:rsid w:val="00670E24"/>
    <w:rsid w:val="006727BD"/>
    <w:rsid w:val="006A3A37"/>
    <w:rsid w:val="006A48A7"/>
    <w:rsid w:val="006B311C"/>
    <w:rsid w:val="006B3E12"/>
    <w:rsid w:val="006C5811"/>
    <w:rsid w:val="006D7B8C"/>
    <w:rsid w:val="006E4266"/>
    <w:rsid w:val="006E5764"/>
    <w:rsid w:val="006F44C7"/>
    <w:rsid w:val="00712DB3"/>
    <w:rsid w:val="00714CD8"/>
    <w:rsid w:val="00716DF5"/>
    <w:rsid w:val="007170D7"/>
    <w:rsid w:val="007221B6"/>
    <w:rsid w:val="00726D8B"/>
    <w:rsid w:val="0073144E"/>
    <w:rsid w:val="00745609"/>
    <w:rsid w:val="00747E46"/>
    <w:rsid w:val="00752F7C"/>
    <w:rsid w:val="00763162"/>
    <w:rsid w:val="00766E26"/>
    <w:rsid w:val="0078608F"/>
    <w:rsid w:val="0078680B"/>
    <w:rsid w:val="00796BD0"/>
    <w:rsid w:val="00797416"/>
    <w:rsid w:val="007A1C0E"/>
    <w:rsid w:val="007B2478"/>
    <w:rsid w:val="007B2CF1"/>
    <w:rsid w:val="007B6644"/>
    <w:rsid w:val="007C22C4"/>
    <w:rsid w:val="007C4962"/>
    <w:rsid w:val="007C6C3B"/>
    <w:rsid w:val="007D2539"/>
    <w:rsid w:val="007D2F42"/>
    <w:rsid w:val="007E4E98"/>
    <w:rsid w:val="00805E9C"/>
    <w:rsid w:val="00811B01"/>
    <w:rsid w:val="00823F4C"/>
    <w:rsid w:val="008375CF"/>
    <w:rsid w:val="00853EC6"/>
    <w:rsid w:val="008547B3"/>
    <w:rsid w:val="00855B3D"/>
    <w:rsid w:val="00866049"/>
    <w:rsid w:val="008819D4"/>
    <w:rsid w:val="00881BCB"/>
    <w:rsid w:val="0088216F"/>
    <w:rsid w:val="00895FE6"/>
    <w:rsid w:val="008A6FEC"/>
    <w:rsid w:val="008B46E3"/>
    <w:rsid w:val="008B60D7"/>
    <w:rsid w:val="008C3877"/>
    <w:rsid w:val="008C3D30"/>
    <w:rsid w:val="008C75F9"/>
    <w:rsid w:val="008D1529"/>
    <w:rsid w:val="008F117D"/>
    <w:rsid w:val="008F3B17"/>
    <w:rsid w:val="00903845"/>
    <w:rsid w:val="00917B64"/>
    <w:rsid w:val="009224F8"/>
    <w:rsid w:val="009254CC"/>
    <w:rsid w:val="00933025"/>
    <w:rsid w:val="00936F44"/>
    <w:rsid w:val="00943785"/>
    <w:rsid w:val="00944138"/>
    <w:rsid w:val="00955276"/>
    <w:rsid w:val="009568D6"/>
    <w:rsid w:val="00957832"/>
    <w:rsid w:val="00977695"/>
    <w:rsid w:val="0098470E"/>
    <w:rsid w:val="00997F05"/>
    <w:rsid w:val="009A23DE"/>
    <w:rsid w:val="009A260F"/>
    <w:rsid w:val="009B03DB"/>
    <w:rsid w:val="009C3E8B"/>
    <w:rsid w:val="009D0886"/>
    <w:rsid w:val="009D3446"/>
    <w:rsid w:val="009D4A79"/>
    <w:rsid w:val="009D775A"/>
    <w:rsid w:val="009E0140"/>
    <w:rsid w:val="009E2BC0"/>
    <w:rsid w:val="009E4120"/>
    <w:rsid w:val="009F0B8A"/>
    <w:rsid w:val="009F3867"/>
    <w:rsid w:val="009F395B"/>
    <w:rsid w:val="009F5439"/>
    <w:rsid w:val="009F584E"/>
    <w:rsid w:val="00A01AB1"/>
    <w:rsid w:val="00A03645"/>
    <w:rsid w:val="00A046AC"/>
    <w:rsid w:val="00A11EA8"/>
    <w:rsid w:val="00A11FD6"/>
    <w:rsid w:val="00A244BD"/>
    <w:rsid w:val="00A247C5"/>
    <w:rsid w:val="00A40FF3"/>
    <w:rsid w:val="00A47604"/>
    <w:rsid w:val="00A62D55"/>
    <w:rsid w:val="00A65F09"/>
    <w:rsid w:val="00A71AE1"/>
    <w:rsid w:val="00A74DB1"/>
    <w:rsid w:val="00A84362"/>
    <w:rsid w:val="00A86F5A"/>
    <w:rsid w:val="00A908B9"/>
    <w:rsid w:val="00A94371"/>
    <w:rsid w:val="00A966D1"/>
    <w:rsid w:val="00AA516E"/>
    <w:rsid w:val="00AA5B29"/>
    <w:rsid w:val="00AB7B01"/>
    <w:rsid w:val="00AC7B96"/>
    <w:rsid w:val="00AD051C"/>
    <w:rsid w:val="00AD4BE6"/>
    <w:rsid w:val="00AF2883"/>
    <w:rsid w:val="00AF3F27"/>
    <w:rsid w:val="00AF4A64"/>
    <w:rsid w:val="00AF52E2"/>
    <w:rsid w:val="00B023E9"/>
    <w:rsid w:val="00B03E01"/>
    <w:rsid w:val="00B06048"/>
    <w:rsid w:val="00B07638"/>
    <w:rsid w:val="00B1186F"/>
    <w:rsid w:val="00B15135"/>
    <w:rsid w:val="00B30431"/>
    <w:rsid w:val="00B40718"/>
    <w:rsid w:val="00B47BED"/>
    <w:rsid w:val="00B779DA"/>
    <w:rsid w:val="00B857C8"/>
    <w:rsid w:val="00B862CA"/>
    <w:rsid w:val="00BA0ACD"/>
    <w:rsid w:val="00BB2AF8"/>
    <w:rsid w:val="00BB74CD"/>
    <w:rsid w:val="00BB7B54"/>
    <w:rsid w:val="00BC349D"/>
    <w:rsid w:val="00BC74C2"/>
    <w:rsid w:val="00BD39EB"/>
    <w:rsid w:val="00BD5FAC"/>
    <w:rsid w:val="00BE50B9"/>
    <w:rsid w:val="00BE7CDB"/>
    <w:rsid w:val="00BF55B9"/>
    <w:rsid w:val="00BF7A42"/>
    <w:rsid w:val="00C0074D"/>
    <w:rsid w:val="00C0319C"/>
    <w:rsid w:val="00C058E1"/>
    <w:rsid w:val="00C07183"/>
    <w:rsid w:val="00C15215"/>
    <w:rsid w:val="00C17BE2"/>
    <w:rsid w:val="00C2462C"/>
    <w:rsid w:val="00C2565A"/>
    <w:rsid w:val="00C36404"/>
    <w:rsid w:val="00C4067F"/>
    <w:rsid w:val="00C42AAC"/>
    <w:rsid w:val="00C51FF1"/>
    <w:rsid w:val="00C53271"/>
    <w:rsid w:val="00C55798"/>
    <w:rsid w:val="00C56FA9"/>
    <w:rsid w:val="00C57D88"/>
    <w:rsid w:val="00C57E04"/>
    <w:rsid w:val="00C66597"/>
    <w:rsid w:val="00C74500"/>
    <w:rsid w:val="00C76404"/>
    <w:rsid w:val="00C77C09"/>
    <w:rsid w:val="00C94FCA"/>
    <w:rsid w:val="00C96DAE"/>
    <w:rsid w:val="00CA07F5"/>
    <w:rsid w:val="00CA2A03"/>
    <w:rsid w:val="00CA6F23"/>
    <w:rsid w:val="00CA73FA"/>
    <w:rsid w:val="00CC1489"/>
    <w:rsid w:val="00CC52A3"/>
    <w:rsid w:val="00CC7AFF"/>
    <w:rsid w:val="00CE62A1"/>
    <w:rsid w:val="00CF5368"/>
    <w:rsid w:val="00D108AA"/>
    <w:rsid w:val="00D13609"/>
    <w:rsid w:val="00D20170"/>
    <w:rsid w:val="00D212AA"/>
    <w:rsid w:val="00D27285"/>
    <w:rsid w:val="00D34029"/>
    <w:rsid w:val="00D36F9A"/>
    <w:rsid w:val="00D5535C"/>
    <w:rsid w:val="00D60600"/>
    <w:rsid w:val="00DA386C"/>
    <w:rsid w:val="00DB021E"/>
    <w:rsid w:val="00DB2853"/>
    <w:rsid w:val="00DB359A"/>
    <w:rsid w:val="00DC147A"/>
    <w:rsid w:val="00DC187E"/>
    <w:rsid w:val="00DD6381"/>
    <w:rsid w:val="00DD7E1B"/>
    <w:rsid w:val="00DE511D"/>
    <w:rsid w:val="00DF46DD"/>
    <w:rsid w:val="00E04CC0"/>
    <w:rsid w:val="00E063AC"/>
    <w:rsid w:val="00E07471"/>
    <w:rsid w:val="00E10A3D"/>
    <w:rsid w:val="00E10D6C"/>
    <w:rsid w:val="00E20E87"/>
    <w:rsid w:val="00E23752"/>
    <w:rsid w:val="00E25D34"/>
    <w:rsid w:val="00E26828"/>
    <w:rsid w:val="00E356A8"/>
    <w:rsid w:val="00E43089"/>
    <w:rsid w:val="00E45971"/>
    <w:rsid w:val="00E52504"/>
    <w:rsid w:val="00E642F8"/>
    <w:rsid w:val="00E72507"/>
    <w:rsid w:val="00E77F1F"/>
    <w:rsid w:val="00E80293"/>
    <w:rsid w:val="00E80F09"/>
    <w:rsid w:val="00E83F8D"/>
    <w:rsid w:val="00EA1EA6"/>
    <w:rsid w:val="00EB4398"/>
    <w:rsid w:val="00EC3589"/>
    <w:rsid w:val="00ED72E4"/>
    <w:rsid w:val="00EF062E"/>
    <w:rsid w:val="00EF6711"/>
    <w:rsid w:val="00F04CA3"/>
    <w:rsid w:val="00F1246A"/>
    <w:rsid w:val="00F2152F"/>
    <w:rsid w:val="00F2431F"/>
    <w:rsid w:val="00F27C7F"/>
    <w:rsid w:val="00F35F38"/>
    <w:rsid w:val="00F575A3"/>
    <w:rsid w:val="00F66767"/>
    <w:rsid w:val="00F67D94"/>
    <w:rsid w:val="00F67DFC"/>
    <w:rsid w:val="00F70170"/>
    <w:rsid w:val="00F711CA"/>
    <w:rsid w:val="00F71203"/>
    <w:rsid w:val="00F76F77"/>
    <w:rsid w:val="00F85989"/>
    <w:rsid w:val="00F90F1F"/>
    <w:rsid w:val="00F96473"/>
    <w:rsid w:val="00F964BE"/>
    <w:rsid w:val="00F9785A"/>
    <w:rsid w:val="00FA2702"/>
    <w:rsid w:val="00FB3BF5"/>
    <w:rsid w:val="00FB4181"/>
    <w:rsid w:val="00FC0183"/>
    <w:rsid w:val="00FD415D"/>
    <w:rsid w:val="00FE31AA"/>
    <w:rsid w:val="00FF2EE9"/>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5B2838"/>
  <w15:docId w15:val="{60B59FE6-18A8-4844-A803-0590BAD34D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77C09"/>
  </w:style>
  <w:style w:type="paragraph" w:styleId="Titolo2">
    <w:name w:val="heading 2"/>
    <w:basedOn w:val="Normale"/>
    <w:link w:val="Titolo2Carattere"/>
    <w:uiPriority w:val="9"/>
    <w:unhideWhenUsed/>
    <w:qFormat/>
    <w:rsid w:val="00607A60"/>
    <w:pPr>
      <w:widowControl w:val="0"/>
      <w:autoSpaceDE w:val="0"/>
      <w:autoSpaceDN w:val="0"/>
      <w:spacing w:after="0" w:line="240" w:lineRule="auto"/>
      <w:ind w:left="160"/>
      <w:outlineLvl w:val="1"/>
    </w:pPr>
    <w:rPr>
      <w:rFonts w:ascii="Times New Roman" w:eastAsia="Times New Roman" w:hAnsi="Times New Roman" w:cs="Times New Roman"/>
      <w:b/>
      <w:b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4241AC"/>
    <w:pPr>
      <w:spacing w:after="0" w:line="240" w:lineRule="auto"/>
    </w:pPr>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4241AC"/>
    <w:rPr>
      <w:rFonts w:ascii="Tahoma" w:hAnsi="Tahoma" w:cs="Tahoma"/>
      <w:sz w:val="16"/>
      <w:szCs w:val="16"/>
    </w:rPr>
  </w:style>
  <w:style w:type="character" w:styleId="Collegamentoipertestuale">
    <w:name w:val="Hyperlink"/>
    <w:basedOn w:val="Carpredefinitoparagrafo"/>
    <w:uiPriority w:val="99"/>
    <w:unhideWhenUsed/>
    <w:rsid w:val="00567615"/>
    <w:rPr>
      <w:color w:val="0000FF" w:themeColor="hyperlink"/>
      <w:u w:val="single"/>
    </w:rPr>
  </w:style>
  <w:style w:type="paragraph" w:styleId="Paragrafoelenco">
    <w:name w:val="List Paragraph"/>
    <w:basedOn w:val="Normale"/>
    <w:uiPriority w:val="1"/>
    <w:qFormat/>
    <w:rsid w:val="004E5A39"/>
    <w:pPr>
      <w:ind w:left="720"/>
      <w:contextualSpacing/>
    </w:pPr>
  </w:style>
  <w:style w:type="character" w:customStyle="1" w:styleId="s1">
    <w:name w:val="s1"/>
    <w:basedOn w:val="Carpredefinitoparagrafo"/>
    <w:rsid w:val="004E5A39"/>
    <w:rPr>
      <w:rFonts w:ascii="Arial" w:hAnsi="Arial" w:cs="Arial" w:hint="default"/>
    </w:rPr>
  </w:style>
  <w:style w:type="paragraph" w:styleId="Didascalia">
    <w:name w:val="caption"/>
    <w:basedOn w:val="Normale"/>
    <w:next w:val="Normale"/>
    <w:qFormat/>
    <w:rsid w:val="004E5A39"/>
    <w:pPr>
      <w:spacing w:before="120" w:after="120" w:line="240" w:lineRule="auto"/>
    </w:pPr>
    <w:rPr>
      <w:rFonts w:ascii="Times New Roman" w:eastAsia="Times New Roman" w:hAnsi="Times New Roman" w:cs="Times New Roman"/>
      <w:b/>
      <w:sz w:val="24"/>
      <w:szCs w:val="20"/>
      <w:lang w:val="en-US"/>
    </w:rPr>
  </w:style>
  <w:style w:type="paragraph" w:styleId="PreformattatoHTML">
    <w:name w:val="HTML Preformatted"/>
    <w:basedOn w:val="Normale"/>
    <w:link w:val="PreformattatoHTMLCarattere"/>
    <w:uiPriority w:val="99"/>
    <w:unhideWhenUsed/>
    <w:rsid w:val="00BB2AF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it-IT"/>
    </w:rPr>
  </w:style>
  <w:style w:type="character" w:customStyle="1" w:styleId="PreformattatoHTMLCarattere">
    <w:name w:val="Preformattato HTML Carattere"/>
    <w:basedOn w:val="Carpredefinitoparagrafo"/>
    <w:link w:val="PreformattatoHTML"/>
    <w:uiPriority w:val="99"/>
    <w:rsid w:val="00BB2AF8"/>
    <w:rPr>
      <w:rFonts w:ascii="Courier New" w:eastAsia="Times New Roman" w:hAnsi="Courier New" w:cs="Courier New"/>
      <w:sz w:val="20"/>
      <w:szCs w:val="20"/>
      <w:lang w:eastAsia="it-IT"/>
    </w:rPr>
  </w:style>
  <w:style w:type="paragraph" w:customStyle="1" w:styleId="TabletextrowsAgency">
    <w:name w:val="Table text rows (Agency)"/>
    <w:basedOn w:val="Normale"/>
    <w:semiHidden/>
    <w:rsid w:val="00265B61"/>
    <w:pPr>
      <w:spacing w:after="0" w:line="280" w:lineRule="exact"/>
    </w:pPr>
    <w:rPr>
      <w:rFonts w:ascii="Verdana" w:eastAsia="Times New Roman" w:hAnsi="Verdana" w:cs="Verdana"/>
      <w:sz w:val="18"/>
      <w:szCs w:val="18"/>
      <w:lang w:val="en-GB" w:eastAsia="zh-CN"/>
    </w:rPr>
  </w:style>
  <w:style w:type="paragraph" w:styleId="NormaleWeb">
    <w:name w:val="Normal (Web)"/>
    <w:basedOn w:val="Normale"/>
    <w:uiPriority w:val="99"/>
    <w:unhideWhenUsed/>
    <w:rsid w:val="00265B61"/>
    <w:pPr>
      <w:spacing w:before="100" w:beforeAutospacing="1" w:after="100" w:afterAutospacing="1" w:line="240" w:lineRule="auto"/>
    </w:pPr>
    <w:rPr>
      <w:rFonts w:ascii="Times New Roman" w:eastAsia="Times New Roman" w:hAnsi="Times New Roman" w:cs="Times New Roman"/>
      <w:sz w:val="24"/>
      <w:szCs w:val="24"/>
      <w:lang w:eastAsia="it-IT"/>
    </w:rPr>
  </w:style>
  <w:style w:type="character" w:styleId="Rimandocommento">
    <w:name w:val="annotation reference"/>
    <w:basedOn w:val="Carpredefinitoparagrafo"/>
    <w:uiPriority w:val="99"/>
    <w:semiHidden/>
    <w:unhideWhenUsed/>
    <w:rsid w:val="00D36F9A"/>
    <w:rPr>
      <w:sz w:val="16"/>
      <w:szCs w:val="16"/>
    </w:rPr>
  </w:style>
  <w:style w:type="paragraph" w:styleId="Testocommento">
    <w:name w:val="annotation text"/>
    <w:basedOn w:val="Normale"/>
    <w:link w:val="TestocommentoCarattere"/>
    <w:uiPriority w:val="99"/>
    <w:unhideWhenUsed/>
    <w:rsid w:val="00D36F9A"/>
    <w:pPr>
      <w:spacing w:line="240" w:lineRule="auto"/>
    </w:pPr>
    <w:rPr>
      <w:sz w:val="20"/>
      <w:szCs w:val="20"/>
    </w:rPr>
  </w:style>
  <w:style w:type="character" w:customStyle="1" w:styleId="TestocommentoCarattere">
    <w:name w:val="Testo commento Carattere"/>
    <w:basedOn w:val="Carpredefinitoparagrafo"/>
    <w:link w:val="Testocommento"/>
    <w:uiPriority w:val="99"/>
    <w:rsid w:val="00D36F9A"/>
    <w:rPr>
      <w:sz w:val="20"/>
      <w:szCs w:val="20"/>
    </w:rPr>
  </w:style>
  <w:style w:type="paragraph" w:styleId="Soggettocommento">
    <w:name w:val="annotation subject"/>
    <w:basedOn w:val="Testocommento"/>
    <w:next w:val="Testocommento"/>
    <w:link w:val="SoggettocommentoCarattere"/>
    <w:uiPriority w:val="99"/>
    <w:semiHidden/>
    <w:unhideWhenUsed/>
    <w:rsid w:val="00D36F9A"/>
    <w:rPr>
      <w:b/>
      <w:bCs/>
    </w:rPr>
  </w:style>
  <w:style w:type="character" w:customStyle="1" w:styleId="SoggettocommentoCarattere">
    <w:name w:val="Soggetto commento Carattere"/>
    <w:basedOn w:val="TestocommentoCarattere"/>
    <w:link w:val="Soggettocommento"/>
    <w:uiPriority w:val="99"/>
    <w:semiHidden/>
    <w:rsid w:val="00D36F9A"/>
    <w:rPr>
      <w:b/>
      <w:bCs/>
      <w:sz w:val="20"/>
      <w:szCs w:val="20"/>
    </w:rPr>
  </w:style>
  <w:style w:type="character" w:styleId="Enfasigrassetto">
    <w:name w:val="Strong"/>
    <w:uiPriority w:val="22"/>
    <w:qFormat/>
    <w:rsid w:val="00022F32"/>
    <w:rPr>
      <w:b/>
      <w:bCs/>
    </w:rPr>
  </w:style>
  <w:style w:type="paragraph" w:styleId="Revisione">
    <w:name w:val="Revision"/>
    <w:hidden/>
    <w:uiPriority w:val="99"/>
    <w:semiHidden/>
    <w:rsid w:val="00022F32"/>
    <w:pPr>
      <w:spacing w:after="0" w:line="240" w:lineRule="auto"/>
    </w:pPr>
  </w:style>
  <w:style w:type="paragraph" w:customStyle="1" w:styleId="BodytextAgency">
    <w:name w:val="Body text (Agency)"/>
    <w:basedOn w:val="Normale"/>
    <w:uiPriority w:val="99"/>
    <w:rsid w:val="004509BC"/>
    <w:pPr>
      <w:spacing w:after="140" w:line="280" w:lineRule="atLeast"/>
    </w:pPr>
    <w:rPr>
      <w:rFonts w:ascii="Verdana" w:eastAsia="Times New Roman" w:hAnsi="Verdana" w:cs="Verdana"/>
      <w:sz w:val="18"/>
      <w:szCs w:val="18"/>
      <w:lang w:val="en-GB" w:eastAsia="en-GB"/>
    </w:rPr>
  </w:style>
  <w:style w:type="paragraph" w:styleId="Intestazione">
    <w:name w:val="header"/>
    <w:basedOn w:val="Normale"/>
    <w:link w:val="IntestazioneCarattere"/>
    <w:uiPriority w:val="99"/>
    <w:unhideWhenUsed/>
    <w:rsid w:val="00C07183"/>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07183"/>
  </w:style>
  <w:style w:type="paragraph" w:styleId="Pidipagina">
    <w:name w:val="footer"/>
    <w:basedOn w:val="Normale"/>
    <w:link w:val="PidipaginaCarattere"/>
    <w:uiPriority w:val="99"/>
    <w:unhideWhenUsed/>
    <w:rsid w:val="00C07183"/>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07183"/>
  </w:style>
  <w:style w:type="paragraph" w:customStyle="1" w:styleId="Default">
    <w:name w:val="Default"/>
    <w:rsid w:val="006322A5"/>
    <w:pPr>
      <w:autoSpaceDE w:val="0"/>
      <w:autoSpaceDN w:val="0"/>
      <w:adjustRightInd w:val="0"/>
      <w:spacing w:after="0" w:line="240" w:lineRule="auto"/>
    </w:pPr>
    <w:rPr>
      <w:rFonts w:ascii="Times New Roman" w:eastAsia="Times New Roman" w:hAnsi="Times New Roman" w:cs="Times New Roman"/>
      <w:color w:val="000000"/>
      <w:sz w:val="24"/>
      <w:szCs w:val="24"/>
      <w:lang w:eastAsia="it-IT"/>
    </w:rPr>
  </w:style>
  <w:style w:type="character" w:customStyle="1" w:styleId="Titolo2Carattere">
    <w:name w:val="Titolo 2 Carattere"/>
    <w:basedOn w:val="Carpredefinitoparagrafo"/>
    <w:link w:val="Titolo2"/>
    <w:uiPriority w:val="9"/>
    <w:rsid w:val="00607A60"/>
    <w:rPr>
      <w:rFonts w:ascii="Times New Roman" w:eastAsia="Times New Roman" w:hAnsi="Times New Roman" w:cs="Times New Roman"/>
      <w:b/>
      <w:bCs/>
    </w:rPr>
  </w:style>
  <w:style w:type="paragraph" w:styleId="Corpotesto">
    <w:name w:val="Body Text"/>
    <w:basedOn w:val="Normale"/>
    <w:link w:val="CorpotestoCarattere"/>
    <w:uiPriority w:val="1"/>
    <w:qFormat/>
    <w:rsid w:val="00607A60"/>
    <w:pPr>
      <w:widowControl w:val="0"/>
      <w:autoSpaceDE w:val="0"/>
      <w:autoSpaceDN w:val="0"/>
      <w:spacing w:after="0" w:line="240" w:lineRule="auto"/>
    </w:pPr>
    <w:rPr>
      <w:rFonts w:ascii="Times New Roman" w:eastAsia="Times New Roman" w:hAnsi="Times New Roman" w:cs="Times New Roman"/>
    </w:rPr>
  </w:style>
  <w:style w:type="character" w:customStyle="1" w:styleId="CorpotestoCarattere">
    <w:name w:val="Corpo testo Carattere"/>
    <w:basedOn w:val="Carpredefinitoparagrafo"/>
    <w:link w:val="Corpotesto"/>
    <w:uiPriority w:val="1"/>
    <w:rsid w:val="00607A60"/>
    <w:rPr>
      <w:rFonts w:ascii="Times New Roman" w:eastAsia="Times New Roman" w:hAnsi="Times New Roman" w:cs="Times New Roman"/>
    </w:rPr>
  </w:style>
  <w:style w:type="character" w:styleId="Enfasicorsivo">
    <w:name w:val="Emphasis"/>
    <w:basedOn w:val="Carpredefinitoparagrafo"/>
    <w:uiPriority w:val="20"/>
    <w:qFormat/>
    <w:rsid w:val="00607A60"/>
    <w:rPr>
      <w:i/>
      <w:iCs/>
    </w:rPr>
  </w:style>
  <w:style w:type="character" w:styleId="Collegamentovisitato">
    <w:name w:val="FollowedHyperlink"/>
    <w:basedOn w:val="Carpredefinitoparagrafo"/>
    <w:uiPriority w:val="99"/>
    <w:semiHidden/>
    <w:unhideWhenUsed/>
    <w:rsid w:val="009D0886"/>
    <w:rPr>
      <w:color w:val="800080" w:themeColor="followedHyperlink"/>
      <w:u w:val="single"/>
    </w:rPr>
  </w:style>
  <w:style w:type="character" w:customStyle="1" w:styleId="UnresolvedMention">
    <w:name w:val="Unresolved Mention"/>
    <w:basedOn w:val="Carpredefinitoparagrafo"/>
    <w:uiPriority w:val="99"/>
    <w:semiHidden/>
    <w:unhideWhenUsed/>
    <w:rsid w:val="00AF4A6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4489131">
      <w:bodyDiv w:val="1"/>
      <w:marLeft w:val="0"/>
      <w:marRight w:val="0"/>
      <w:marTop w:val="0"/>
      <w:marBottom w:val="0"/>
      <w:divBdr>
        <w:top w:val="none" w:sz="0" w:space="0" w:color="auto"/>
        <w:left w:val="none" w:sz="0" w:space="0" w:color="auto"/>
        <w:bottom w:val="none" w:sz="0" w:space="0" w:color="auto"/>
        <w:right w:val="none" w:sz="0" w:space="0" w:color="auto"/>
      </w:divBdr>
    </w:div>
    <w:div w:id="273100773">
      <w:bodyDiv w:val="1"/>
      <w:marLeft w:val="0"/>
      <w:marRight w:val="0"/>
      <w:marTop w:val="0"/>
      <w:marBottom w:val="0"/>
      <w:divBdr>
        <w:top w:val="none" w:sz="0" w:space="0" w:color="auto"/>
        <w:left w:val="none" w:sz="0" w:space="0" w:color="auto"/>
        <w:bottom w:val="none" w:sz="0" w:space="0" w:color="auto"/>
        <w:right w:val="none" w:sz="0" w:space="0" w:color="auto"/>
      </w:divBdr>
    </w:div>
    <w:div w:id="66204639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image" Target="media/image2.png"/><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60EFBA69-39C4-4D08-90EB-4CC7D06951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Pages>
  <Words>6878</Words>
  <Characters>39206</Characters>
  <Application>Microsoft Office Word</Application>
  <DocSecurity>0</DocSecurity>
  <Lines>326</Lines>
  <Paragraphs>91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45993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dellutri</dc:creator>
  <cp:lastModifiedBy>Rovazzani Dario Davide</cp:lastModifiedBy>
  <cp:revision>7</cp:revision>
  <dcterms:created xsi:type="dcterms:W3CDTF">2024-10-31T11:49:00Z</dcterms:created>
  <dcterms:modified xsi:type="dcterms:W3CDTF">2024-10-31T14:23:00Z</dcterms:modified>
</cp:coreProperties>
</file>