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E90B2" w14:textId="77777777" w:rsidR="004241AC" w:rsidRPr="00346E6C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346E6C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2D2183F5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346E6C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346E6C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346E6C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346E6C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346E6C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346E6C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688CC357" w:rsidR="00823F4C" w:rsidRPr="00346E6C" w:rsidRDefault="00823F4C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346E6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346E6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346E6C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66FAAA4B" w:rsidR="00BF7A42" w:rsidRPr="00346E6C" w:rsidRDefault="00303EAD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TELEVITICA</w:t>
      </w:r>
    </w:p>
    <w:p w14:paraId="5A764497" w14:textId="77777777" w:rsidR="004609F8" w:rsidRPr="00346E6C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578CC231" w:rsidR="004241AC" w:rsidRPr="00346E6C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346E6C">
        <w:rPr>
          <w:rFonts w:cstheme="minorHAnsi"/>
          <w:snapToGrid w:val="0"/>
          <w:sz w:val="24"/>
          <w:szCs w:val="24"/>
        </w:rPr>
        <w:t xml:space="preserve"> (</w:t>
      </w:r>
      <w:r w:rsidR="005D1529" w:rsidRPr="00346E6C">
        <w:rPr>
          <w:rFonts w:cstheme="minorHAnsi"/>
          <w:snapToGrid w:val="0"/>
          <w:sz w:val="24"/>
          <w:szCs w:val="24"/>
        </w:rPr>
        <w:t>xilometaz</w:t>
      </w:r>
      <w:r w:rsidR="003E709F" w:rsidRPr="00346E6C">
        <w:rPr>
          <w:rFonts w:cstheme="minorHAnsi"/>
          <w:snapToGrid w:val="0"/>
          <w:sz w:val="24"/>
          <w:szCs w:val="24"/>
        </w:rPr>
        <w:t>oli</w:t>
      </w:r>
      <w:r w:rsidR="005D1529" w:rsidRPr="00346E6C">
        <w:rPr>
          <w:rFonts w:cstheme="minorHAnsi"/>
          <w:snapToGrid w:val="0"/>
          <w:sz w:val="24"/>
          <w:szCs w:val="24"/>
        </w:rPr>
        <w:t>na cloridrato</w:t>
      </w:r>
      <w:r w:rsidR="002A1800" w:rsidRPr="00346E6C">
        <w:rPr>
          <w:rFonts w:cstheme="minorHAnsi"/>
          <w:snapToGrid w:val="0"/>
          <w:sz w:val="24"/>
          <w:szCs w:val="24"/>
        </w:rPr>
        <w:t xml:space="preserve">, </w:t>
      </w:r>
      <w:r w:rsidR="003E709F" w:rsidRPr="00346E6C">
        <w:rPr>
          <w:rFonts w:cstheme="minorHAnsi"/>
          <w:snapToGrid w:val="0"/>
          <w:sz w:val="24"/>
          <w:szCs w:val="24"/>
        </w:rPr>
        <w:t>1 mg/ml spray nasale, soluzione</w:t>
      </w:r>
      <w:r w:rsidRPr="00346E6C">
        <w:rPr>
          <w:rFonts w:cstheme="minorHAnsi"/>
          <w:snapToGrid w:val="0"/>
          <w:sz w:val="24"/>
          <w:szCs w:val="24"/>
        </w:rPr>
        <w:t>)</w:t>
      </w:r>
    </w:p>
    <w:p w14:paraId="52C25FF5" w14:textId="77777777" w:rsidR="004241AC" w:rsidRPr="00346E6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346E6C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CAC476" w14:textId="6BC8FC51" w:rsidR="00EC3589" w:rsidRPr="00346E6C" w:rsidRDefault="005D152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1" w:name="_Hlk184722275"/>
      <w:r w:rsidRPr="00346E6C">
        <w:rPr>
          <w:rFonts w:cstheme="minorHAnsi"/>
          <w:b/>
          <w:sz w:val="24"/>
          <w:szCs w:val="24"/>
        </w:rPr>
        <w:t>ABIOGEN PHARMA S.p.A.</w:t>
      </w:r>
      <w:r w:rsidR="00BF7A42" w:rsidRPr="00346E6C">
        <w:rPr>
          <w:rFonts w:cstheme="minorHAnsi"/>
          <w:b/>
          <w:sz w:val="24"/>
          <w:szCs w:val="24"/>
        </w:rPr>
        <w:t xml:space="preserve"> </w:t>
      </w:r>
    </w:p>
    <w:bookmarkEnd w:id="1"/>
    <w:p w14:paraId="6CDFC0E6" w14:textId="7832FD4B" w:rsidR="004609F8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D8914E9" w14:textId="654FF214" w:rsidR="005870C6" w:rsidRDefault="005870C6" w:rsidP="005870C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870C6">
        <w:rPr>
          <w:rFonts w:cstheme="minorHAnsi"/>
          <w:b/>
          <w:sz w:val="24"/>
          <w:szCs w:val="24"/>
        </w:rPr>
        <w:t>IT/H/</w:t>
      </w:r>
      <w:r>
        <w:rPr>
          <w:rFonts w:cstheme="minorHAnsi"/>
          <w:b/>
          <w:sz w:val="24"/>
          <w:szCs w:val="24"/>
        </w:rPr>
        <w:t>0885</w:t>
      </w:r>
      <w:r w:rsidRPr="005870C6">
        <w:rPr>
          <w:rFonts w:cstheme="minorHAnsi"/>
          <w:b/>
          <w:sz w:val="24"/>
          <w:szCs w:val="24"/>
        </w:rPr>
        <w:t xml:space="preserve">/001/DC </w:t>
      </w:r>
    </w:p>
    <w:p w14:paraId="4706E366" w14:textId="77777777" w:rsidR="009D3F37" w:rsidRPr="005870C6" w:rsidRDefault="009D3F37" w:rsidP="005870C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2" w:name="_GoBack"/>
      <w:bookmarkEnd w:id="2"/>
    </w:p>
    <w:p w14:paraId="5EF8362F" w14:textId="79CEF874" w:rsidR="004241AC" w:rsidRPr="00346E6C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 xml:space="preserve">Numero di AIC: </w:t>
      </w:r>
      <w:r w:rsidR="005D1529" w:rsidRPr="00346E6C">
        <w:rPr>
          <w:rFonts w:cstheme="minorHAnsi"/>
          <w:b/>
          <w:sz w:val="24"/>
          <w:szCs w:val="24"/>
        </w:rPr>
        <w:t>050210</w:t>
      </w:r>
    </w:p>
    <w:p w14:paraId="73438203" w14:textId="77777777" w:rsidR="00797416" w:rsidRPr="00346E6C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40C62210" w14:textId="77777777" w:rsidR="004E5A39" w:rsidRPr="00346E6C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346E6C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346E6C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44911D69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346E6C">
        <w:rPr>
          <w:rFonts w:eastAsia="Calibri" w:cstheme="minorHAnsi"/>
          <w:i/>
          <w:color w:val="000000"/>
          <w:sz w:val="24"/>
          <w:szCs w:val="24"/>
          <w:lang w:eastAsia="it-IT"/>
        </w:rPr>
        <w:t>Public Assessment Report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346E6C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C0722" w:rsidRPr="00346E6C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 w:rsidRPr="00346E6C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 w:rsidRPr="00346E6C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346E6C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 w:rsidRPr="00346E6C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0CC07F67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346E6C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6C0722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02D319F2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5D1529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>TELEVITICA</w:t>
      </w:r>
      <w:r w:rsidR="00797416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3B2B2C1D" w14:textId="5665570D" w:rsidR="00797416" w:rsidRPr="00346E6C" w:rsidRDefault="005D1529" w:rsidP="003E709F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797416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346E6C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r w:rsidR="003E709F" w:rsidRPr="00346E6C">
        <w:rPr>
          <w:rFonts w:eastAsia="Calibri" w:cstheme="minorHAnsi"/>
          <w:color w:val="000000"/>
          <w:sz w:val="24"/>
          <w:szCs w:val="24"/>
          <w:lang w:eastAsia="it-IT"/>
        </w:rPr>
        <w:t>xilometazolina cloridrato</w:t>
      </w:r>
      <w:r w:rsidR="00797416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346E6C">
        <w:rPr>
          <w:rFonts w:eastAsia="Calibri" w:cstheme="minorHAnsi"/>
          <w:color w:val="000000"/>
          <w:sz w:val="24"/>
          <w:szCs w:val="24"/>
          <w:lang w:eastAsia="it-IT"/>
        </w:rPr>
        <w:t>è disponibile come</w:t>
      </w:r>
      <w:r w:rsidR="003E709F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spray nasale, soluzione contenente 1 mg/ml</w:t>
      </w:r>
      <w:r w:rsidR="00797416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di</w:t>
      </w:r>
      <w:r w:rsidR="00BB2AF8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principio attivo</w:t>
      </w:r>
      <w:r w:rsidR="003E709F" w:rsidRPr="00346E6C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1A5E32AD" w14:textId="77777777" w:rsidR="00300BEA" w:rsidRPr="00346E6C" w:rsidRDefault="00300BEA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2E32740" w14:textId="6636068E" w:rsidR="00445DB2" w:rsidRPr="00346E6C" w:rsidRDefault="005D1529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445DB2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ibrido”. Questo significa che è simile al medicinale di riferimento </w:t>
      </w:r>
      <w:bookmarkStart w:id="3" w:name="_Hlk184721549"/>
      <w:r w:rsidR="0040622B">
        <w:rPr>
          <w:rFonts w:eastAsia="Calibri" w:cstheme="minorHAnsi"/>
          <w:color w:val="000000"/>
          <w:sz w:val="24"/>
          <w:szCs w:val="24"/>
          <w:lang w:eastAsia="it-IT"/>
        </w:rPr>
        <w:t>RinaAdvance</w:t>
      </w:r>
      <w:r w:rsidR="004C0689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45DB2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lo stesso principio attivo, </w:t>
      </w:r>
      <w:r w:rsidR="003E709F" w:rsidRPr="00346E6C">
        <w:rPr>
          <w:rFonts w:eastAsia="Calibri" w:cstheme="minorHAnsi"/>
          <w:color w:val="000000"/>
          <w:sz w:val="24"/>
          <w:szCs w:val="24"/>
          <w:lang w:eastAsia="it-IT"/>
        </w:rPr>
        <w:t>e disponibile negli stessi dosaggio e forma farmaceutica</w:t>
      </w:r>
      <w:r w:rsidR="00445DB2" w:rsidRPr="00346E6C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bookmarkEnd w:id="3"/>
    </w:p>
    <w:p w14:paraId="2F6585E9" w14:textId="01B80E17" w:rsidR="00445DB2" w:rsidRPr="00346E6C" w:rsidRDefault="00445DB2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La </w:t>
      </w:r>
      <w:r w:rsidR="006222F7" w:rsidRPr="00346E6C">
        <w:rPr>
          <w:rFonts w:eastAsia="Calibri" w:cstheme="minorHAnsi"/>
          <w:color w:val="000000"/>
          <w:sz w:val="24"/>
          <w:szCs w:val="24"/>
          <w:lang w:eastAsia="it-IT"/>
        </w:rPr>
        <w:t>società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ha fornito dati aggiuntivi per dimostrare la sicurezza e l’efficacia 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in relazione a</w:t>
      </w:r>
      <w:r w:rsidR="00F76F77" w:rsidRPr="00346E6C">
        <w:rPr>
          <w:rFonts w:eastAsia="Calibri" w:cstheme="minorHAnsi"/>
          <w:color w:val="000000"/>
          <w:sz w:val="24"/>
          <w:szCs w:val="24"/>
          <w:lang w:eastAsia="it-IT"/>
        </w:rPr>
        <w:t>lle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differenz</w:t>
      </w:r>
      <w:r w:rsidR="00F76F77" w:rsidRPr="00346E6C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rispetto al prodotto di riferimento.</w:t>
      </w:r>
    </w:p>
    <w:p w14:paraId="64CF164E" w14:textId="77777777" w:rsidR="00445DB2" w:rsidRPr="00346E6C" w:rsidRDefault="00445DB2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highlight w:val="yellow"/>
          <w:lang w:eastAsia="it-IT"/>
        </w:rPr>
      </w:pPr>
    </w:p>
    <w:p w14:paraId="21F72190" w14:textId="746635EE" w:rsidR="00BB2AF8" w:rsidRPr="00346E6C" w:rsidRDefault="005D1529" w:rsidP="00300B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i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lastRenderedPageBreak/>
        <w:t>TELEVITICA</w:t>
      </w:r>
      <w:r w:rsidR="00300BEA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346E6C">
        <w:rPr>
          <w:rFonts w:eastAsia="Calibri" w:cstheme="minorHAnsi"/>
          <w:sz w:val="24"/>
          <w:szCs w:val="24"/>
          <w:lang w:eastAsia="it-IT"/>
        </w:rPr>
        <w:t>si usa</w:t>
      </w:r>
      <w:r w:rsidR="005908BE" w:rsidRPr="00346E6C">
        <w:t xml:space="preserve"> </w:t>
      </w:r>
      <w:r w:rsidR="005908BE" w:rsidRPr="00346E6C">
        <w:rPr>
          <w:rFonts w:eastAsia="Calibri" w:cstheme="minorHAnsi"/>
          <w:sz w:val="24"/>
          <w:szCs w:val="24"/>
          <w:lang w:eastAsia="it-IT"/>
        </w:rPr>
        <w:t>per il trattamento sintomatico temporaneo della congestione nasale dovuta a raffreddore, febbre da fieno o altre riniti allergiche e sinusite in adulti e adolescenti (età compresa tra 12 e 18 anni).</w:t>
      </w:r>
    </w:p>
    <w:p w14:paraId="4FDE7C45" w14:textId="77777777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4952CFA9" w:rsidR="00BB2AF8" w:rsidRPr="00346E6C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E’ PRESCRITTO/USATO </w:t>
      </w:r>
      <w:r w:rsidR="005D1529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46E5190" w14:textId="6189F805" w:rsidR="001C15DF" w:rsidRPr="00346E6C" w:rsidRDefault="005D1529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1C15DF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1C15DF" w:rsidRPr="00346E6C">
        <w:rPr>
          <w:rFonts w:cstheme="minorHAnsi"/>
          <w:sz w:val="24"/>
          <w:szCs w:val="24"/>
        </w:rPr>
        <w:t>è un medicinale di automedicazione (OTC) e non necessita di prescrizione del medico.</w:t>
      </w:r>
    </w:p>
    <w:p w14:paraId="273BE63E" w14:textId="77777777" w:rsidR="001C15DF" w:rsidRPr="00346E6C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3CD7D8" w14:textId="65DAC0AB" w:rsidR="005908BE" w:rsidRPr="00346E6C" w:rsidRDefault="00BB2AF8" w:rsidP="005908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La dose raccomandata </w:t>
      </w:r>
      <w:r w:rsidR="00EF6711" w:rsidRPr="00346E6C">
        <w:rPr>
          <w:rFonts w:cstheme="minorHAnsi"/>
          <w:sz w:val="24"/>
          <w:szCs w:val="24"/>
        </w:rPr>
        <w:t>giornaliera</w:t>
      </w:r>
      <w:r w:rsidRPr="00346E6C">
        <w:rPr>
          <w:rFonts w:cstheme="minorHAnsi"/>
          <w:sz w:val="24"/>
          <w:szCs w:val="24"/>
        </w:rPr>
        <w:t xml:space="preserve"> </w:t>
      </w:r>
      <w:r w:rsidR="001C15DF" w:rsidRPr="00346E6C">
        <w:rPr>
          <w:rFonts w:cstheme="minorHAnsi"/>
          <w:sz w:val="24"/>
          <w:szCs w:val="24"/>
        </w:rPr>
        <w:t xml:space="preserve">negli adulti </w:t>
      </w:r>
      <w:r w:rsidR="004C5499" w:rsidRPr="00346E6C">
        <w:rPr>
          <w:rFonts w:cstheme="minorHAnsi"/>
          <w:sz w:val="24"/>
          <w:szCs w:val="24"/>
        </w:rPr>
        <w:t xml:space="preserve">e negli adolescenti (di </w:t>
      </w:r>
      <w:r w:rsidR="004C5499" w:rsidRPr="00346E6C">
        <w:rPr>
          <w:rFonts w:eastAsia="Calibri" w:cstheme="minorHAnsi"/>
          <w:sz w:val="24"/>
          <w:szCs w:val="24"/>
          <w:lang w:eastAsia="it-IT"/>
        </w:rPr>
        <w:t>età compresa tra 12 e 18 anni)</w:t>
      </w:r>
      <w:r w:rsidR="004C5499" w:rsidRPr="00346E6C">
        <w:rPr>
          <w:rFonts w:cstheme="minorHAnsi"/>
          <w:sz w:val="24"/>
          <w:szCs w:val="24"/>
        </w:rPr>
        <w:t xml:space="preserve"> </w:t>
      </w:r>
      <w:r w:rsidRPr="00346E6C">
        <w:rPr>
          <w:rFonts w:cstheme="minorHAnsi"/>
          <w:sz w:val="24"/>
          <w:szCs w:val="24"/>
        </w:rPr>
        <w:t xml:space="preserve">è di </w:t>
      </w:r>
      <w:r w:rsidR="00B757CE" w:rsidRPr="00346E6C">
        <w:rPr>
          <w:rFonts w:cstheme="minorHAnsi"/>
          <w:sz w:val="24"/>
          <w:szCs w:val="24"/>
        </w:rPr>
        <w:t>1 spruzzo in ciascuna narice 1-3 volte al giorno, a seconda della necessità</w:t>
      </w:r>
      <w:r w:rsidR="005908BE" w:rsidRPr="00346E6C">
        <w:rPr>
          <w:rFonts w:cstheme="minorHAnsi"/>
          <w:sz w:val="24"/>
          <w:szCs w:val="24"/>
        </w:rPr>
        <w:t>, per un massimo di 3 erogazioni al giorno in ciascuna narice.</w:t>
      </w:r>
    </w:p>
    <w:p w14:paraId="5ED1634C" w14:textId="098B34F8" w:rsidR="00B757CE" w:rsidRPr="00346E6C" w:rsidRDefault="005908BE" w:rsidP="005908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  <w:highlight w:val="green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TELEVITICA  non deve essere usato </w:t>
      </w:r>
      <w:r w:rsidRPr="00346E6C">
        <w:rPr>
          <w:rFonts w:cstheme="minorHAnsi"/>
          <w:sz w:val="24"/>
          <w:szCs w:val="24"/>
        </w:rPr>
        <w:t>per più di 7 giorni consecutivi.</w:t>
      </w:r>
    </w:p>
    <w:p w14:paraId="712A54F0" w14:textId="77777777" w:rsidR="00B757CE" w:rsidRPr="00346E6C" w:rsidRDefault="00B757CE" w:rsidP="00B757CE">
      <w:pPr>
        <w:tabs>
          <w:tab w:val="left" w:pos="0"/>
        </w:tabs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2A764EBC" w14:textId="79AE1EEA" w:rsidR="001C15DF" w:rsidRPr="00346E6C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Q</w:t>
      </w:r>
      <w:r w:rsidR="001C15DF" w:rsidRPr="00346E6C">
        <w:rPr>
          <w:rFonts w:cstheme="minorHAnsi"/>
          <w:sz w:val="24"/>
          <w:szCs w:val="24"/>
        </w:rPr>
        <w:t xml:space="preserve">uesto medicinale non deve essere utilizzato </w:t>
      </w:r>
      <w:r w:rsidR="005908BE" w:rsidRPr="00346E6C">
        <w:rPr>
          <w:rFonts w:cstheme="minorHAnsi"/>
          <w:sz w:val="24"/>
          <w:szCs w:val="24"/>
        </w:rPr>
        <w:t>nei bambini sotto i 12 anni</w:t>
      </w:r>
    </w:p>
    <w:p w14:paraId="725FA40C" w14:textId="77777777" w:rsidR="00F96473" w:rsidRPr="00346E6C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6CFECE4A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5D1529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270D7D95" w14:textId="36F753A4" w:rsidR="00BB2AF8" w:rsidRPr="00346E6C" w:rsidRDefault="005D1529" w:rsidP="005908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BB2AF8" w:rsidRPr="00346E6C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5908BE" w:rsidRPr="00346E6C">
        <w:rPr>
          <w:rFonts w:cstheme="minorHAnsi"/>
          <w:sz w:val="24"/>
          <w:szCs w:val="24"/>
        </w:rPr>
        <w:t>R01A A07</w:t>
      </w:r>
      <w:r w:rsidR="00BB2AF8" w:rsidRPr="00346E6C">
        <w:rPr>
          <w:rFonts w:eastAsia="DejaVuSans" w:cstheme="minorHAnsi"/>
          <w:sz w:val="24"/>
          <w:szCs w:val="24"/>
        </w:rPr>
        <w:t xml:space="preserve"> </w:t>
      </w:r>
      <w:r w:rsidR="00BB2AF8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r w:rsidR="005908BE" w:rsidRPr="00346E6C">
        <w:rPr>
          <w:rFonts w:cstheme="minorHAnsi"/>
          <w:snapToGrid w:val="0"/>
          <w:sz w:val="24"/>
          <w:szCs w:val="24"/>
        </w:rPr>
        <w:t>xilometazolina cloridrato</w:t>
      </w:r>
      <w:r w:rsidR="00F96473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346E6C">
        <w:rPr>
          <w:rFonts w:eastAsia="DejaVuSans" w:cstheme="minorHAnsi"/>
          <w:sz w:val="24"/>
          <w:szCs w:val="24"/>
        </w:rPr>
        <w:t>che</w:t>
      </w:r>
      <w:r w:rsidR="00BB2AF8" w:rsidRPr="00346E6C">
        <w:rPr>
          <w:rFonts w:cstheme="minorHAnsi"/>
          <w:sz w:val="24"/>
          <w:szCs w:val="24"/>
        </w:rPr>
        <w:t xml:space="preserve"> </w:t>
      </w:r>
      <w:r w:rsidR="005908BE" w:rsidRPr="00346E6C">
        <w:rPr>
          <w:rFonts w:cstheme="minorHAnsi"/>
          <w:sz w:val="24"/>
          <w:szCs w:val="24"/>
        </w:rPr>
        <w:t>appartiene alla classe dei farmaci decongestionanti della mucosa nasale che agisce restringendo i vasi a livello della mucosa nasale riducendo il gonfiore (edema) che rende difficile la respirazione.</w:t>
      </w:r>
    </w:p>
    <w:p w14:paraId="4950849B" w14:textId="77777777" w:rsidR="005908BE" w:rsidRPr="00346E6C" w:rsidRDefault="005908BE" w:rsidP="005908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4B9774CD" w14:textId="3C3CFD4C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346E6C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5D1529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037543FD" w14:textId="5D94A277" w:rsidR="00112B76" w:rsidRPr="00346E6C" w:rsidRDefault="005D1529" w:rsidP="00112B76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F76F77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 ed è considerato </w:t>
      </w:r>
      <w:r w:rsidR="00387CA8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terapeuticamente equivalente </w:t>
      </w:r>
      <w:r w:rsidR="00F76F77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al medicinale di riferimento </w:t>
      </w:r>
      <w:r w:rsidR="0040622B">
        <w:rPr>
          <w:rFonts w:eastAsia="Calibri" w:cstheme="minorHAnsi"/>
          <w:color w:val="000000"/>
          <w:sz w:val="24"/>
          <w:szCs w:val="24"/>
          <w:lang w:eastAsia="it-IT"/>
        </w:rPr>
        <w:t>RinaAdvance</w:t>
      </w:r>
      <w:r w:rsidR="00F76F77" w:rsidRPr="00346E6C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rischio/beneficio.</w:t>
      </w:r>
    </w:p>
    <w:p w14:paraId="44BDF908" w14:textId="77777777" w:rsidR="003238CF" w:rsidRPr="00346E6C" w:rsidRDefault="003238CF" w:rsidP="00112B76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949EEC0" w14:textId="77EE6C3D" w:rsidR="00F67F95" w:rsidRPr="00346E6C" w:rsidRDefault="005D1529" w:rsidP="00112B76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EB4398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 del medicinale </w:t>
      </w:r>
      <w:r w:rsidR="00811B01" w:rsidRPr="00346E6C">
        <w:rPr>
          <w:rFonts w:eastAsia="Calibri" w:cstheme="minorHAnsi"/>
          <w:color w:val="000000"/>
          <w:sz w:val="24"/>
          <w:szCs w:val="24"/>
          <w:lang w:eastAsia="it-IT"/>
        </w:rPr>
        <w:t>d</w:t>
      </w:r>
      <w:r w:rsidR="00EB4398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i riferimento </w:t>
      </w:r>
      <w:r w:rsidR="0040622B">
        <w:rPr>
          <w:rFonts w:eastAsia="Calibri" w:cstheme="minorHAnsi"/>
          <w:color w:val="000000"/>
          <w:sz w:val="24"/>
          <w:szCs w:val="24"/>
          <w:lang w:eastAsia="it-IT"/>
        </w:rPr>
        <w:t>RinaAdvance</w:t>
      </w:r>
      <w:r w:rsidR="00F67F95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contenente lo stesso principio attivo, e disponibile ne</w:t>
      </w:r>
      <w:r w:rsidR="00F70704">
        <w:rPr>
          <w:rFonts w:eastAsia="Calibri" w:cstheme="minorHAnsi"/>
          <w:color w:val="000000"/>
          <w:sz w:val="24"/>
          <w:szCs w:val="24"/>
          <w:lang w:eastAsia="it-IT"/>
        </w:rPr>
        <w:t>llo</w:t>
      </w:r>
      <w:r w:rsidR="00F67F95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stess</w:t>
      </w:r>
      <w:r w:rsidR="00F70704">
        <w:rPr>
          <w:rFonts w:eastAsia="Calibri" w:cstheme="minorHAnsi"/>
          <w:color w:val="000000"/>
          <w:sz w:val="24"/>
          <w:szCs w:val="24"/>
          <w:lang w:eastAsia="it-IT"/>
        </w:rPr>
        <w:t>o</w:t>
      </w:r>
      <w:r w:rsidR="00F67F95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dosaggio e forma farmaceutica.</w:t>
      </w:r>
    </w:p>
    <w:p w14:paraId="431359DA" w14:textId="77777777" w:rsidR="006B311C" w:rsidRPr="00346E6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3D6362F2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5D1529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b/>
          <w:sz w:val="24"/>
          <w:szCs w:val="24"/>
          <w:lang w:eastAsia="it-IT"/>
        </w:rPr>
        <w:t>?</w:t>
      </w:r>
      <w:r w:rsidRPr="00346E6C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7D8A3EE5" w:rsidR="00BB2AF8" w:rsidRPr="00346E6C" w:rsidRDefault="005D152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7170D7" w:rsidRPr="00346E6C">
        <w:rPr>
          <w:rFonts w:cstheme="minorHAnsi"/>
          <w:sz w:val="24"/>
          <w:szCs w:val="24"/>
        </w:rPr>
        <w:t xml:space="preserve"> </w:t>
      </w:r>
      <w:r w:rsidR="00BB2AF8" w:rsidRPr="00346E6C">
        <w:rPr>
          <w:rFonts w:eastAsia="Calibri" w:cstheme="minorHAnsi"/>
          <w:sz w:val="24"/>
          <w:szCs w:val="24"/>
          <w:lang w:eastAsia="it-IT"/>
        </w:rPr>
        <w:t xml:space="preserve">è un medicinale generico ed è equivalente al medicinale di riferimento; pertanto, i suoi benefici e rischi sono sovrapponibili a quelli del medicinale di riferimento. </w:t>
      </w:r>
    </w:p>
    <w:p w14:paraId="3D4E875D" w14:textId="77777777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031FEEC8" w:rsidR="00BB2AF8" w:rsidRPr="00346E6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5D1529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>TELEVITICA</w:t>
      </w:r>
      <w:r w:rsidR="007170D7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eastAsia="Calibri" w:cstheme="minorHAnsi"/>
          <w:b/>
          <w:bCs/>
          <w:sz w:val="24"/>
          <w:szCs w:val="24"/>
          <w:lang w:eastAsia="it-IT"/>
        </w:rPr>
        <w:t xml:space="preserve">E’ STATO APPROVATO? </w:t>
      </w:r>
    </w:p>
    <w:p w14:paraId="2F1F1380" w14:textId="10BB69E2" w:rsidR="00BB2AF8" w:rsidRPr="00346E6C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 w:rsidRPr="00346E6C">
        <w:rPr>
          <w:rFonts w:eastAsia="Calibri" w:cstheme="minorHAnsi"/>
          <w:sz w:val="24"/>
          <w:szCs w:val="24"/>
          <w:lang w:eastAsia="it-IT"/>
        </w:rPr>
        <w:t>a</w:t>
      </w:r>
      <w:r w:rsidRPr="00346E6C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346E6C">
        <w:rPr>
          <w:rFonts w:eastAsia="Calibri" w:cstheme="minorHAnsi"/>
          <w:sz w:val="24"/>
          <w:szCs w:val="24"/>
          <w:lang w:eastAsia="it-IT"/>
        </w:rPr>
        <w:t>, conformemente ai requisiti della normativa vigente, come nel caso del medicinale di riferimento</w:t>
      </w:r>
      <w:r w:rsidR="009D6D31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0622B">
        <w:rPr>
          <w:rFonts w:eastAsia="Calibri" w:cstheme="minorHAnsi"/>
          <w:color w:val="000000"/>
          <w:sz w:val="24"/>
          <w:szCs w:val="24"/>
          <w:lang w:eastAsia="it-IT"/>
        </w:rPr>
        <w:t>RinaAdvance</w:t>
      </w:r>
      <w:r w:rsidR="00BB2AF8" w:rsidRPr="00346E6C">
        <w:rPr>
          <w:rFonts w:eastAsia="Calibri" w:cstheme="minorHAnsi"/>
          <w:sz w:val="24"/>
          <w:szCs w:val="24"/>
          <w:lang w:eastAsia="it-IT"/>
        </w:rPr>
        <w:t xml:space="preserve">, i benefici 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7170D7" w:rsidRPr="00346E6C">
        <w:rPr>
          <w:rFonts w:cstheme="minorHAnsi"/>
          <w:sz w:val="24"/>
          <w:szCs w:val="24"/>
        </w:rPr>
        <w:t xml:space="preserve"> </w:t>
      </w:r>
      <w:r w:rsidR="00BB2AF8" w:rsidRPr="00346E6C">
        <w:rPr>
          <w:rFonts w:eastAsia="Calibri" w:cstheme="minorHAnsi"/>
          <w:sz w:val="24"/>
          <w:szCs w:val="24"/>
          <w:lang w:eastAsia="it-IT"/>
        </w:rPr>
        <w:t xml:space="preserve"> sono superiori ai rischi individuati. </w:t>
      </w:r>
    </w:p>
    <w:p w14:paraId="16F07614" w14:textId="4BF55770" w:rsidR="009D6D31" w:rsidRPr="00346E6C" w:rsidRDefault="009D6D31" w:rsidP="009D6D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sz w:val="24"/>
          <w:szCs w:val="24"/>
          <w:lang w:eastAsia="it-IT"/>
        </w:rPr>
        <w:t xml:space="preserve">Sulla base del parere espresso dalla CTS nella seduta del 6, 8, 9 e 10 febbraio 2023, a partire dalla seduta della Commissione Tecnico Scientifica (CTS) del mese di giugno 2023, tutte le procedure di nuova AIC Nazionali, presentate ai sensi dell’art. 10(1) (‘generic application’) o dell’art. 10(3) (‘hybrid application’) della Direttiva 2001/83/CE (art. 10, commi 1 e 6 del decreto legislativo 219/2006 e s.m.i.), sono soggette alla procedura semplificata. </w:t>
      </w:r>
    </w:p>
    <w:p w14:paraId="2AF6986A" w14:textId="1A9E74D9" w:rsidR="009D6D31" w:rsidRPr="00346E6C" w:rsidRDefault="009D6D31" w:rsidP="009D6D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sz w:val="24"/>
          <w:szCs w:val="24"/>
          <w:lang w:eastAsia="it-IT"/>
        </w:rPr>
        <w:t>L’AIFA ha, inoltre, definito le modalità di prescrizione di cui al punto 2) di questo Riassunto e la classe di rimborsabilità del medicinale (C</w:t>
      </w:r>
      <w:r w:rsidR="000E51EE" w:rsidRPr="00346E6C">
        <w:rPr>
          <w:rFonts w:eastAsia="Calibri" w:cstheme="minorHAnsi"/>
          <w:sz w:val="24"/>
          <w:szCs w:val="24"/>
          <w:lang w:eastAsia="it-IT"/>
        </w:rPr>
        <w:t>-bis</w:t>
      </w:r>
      <w:r w:rsidRPr="00346E6C">
        <w:rPr>
          <w:rFonts w:eastAsia="Calibri" w:cstheme="minorHAnsi"/>
          <w:sz w:val="24"/>
          <w:szCs w:val="24"/>
          <w:lang w:eastAsia="it-IT"/>
        </w:rPr>
        <w:t>).</w:t>
      </w:r>
    </w:p>
    <w:p w14:paraId="563BF063" w14:textId="77777777" w:rsidR="004241AC" w:rsidRPr="00346E6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315643AB" w:rsidR="004241AC" w:rsidRPr="00346E6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b/>
          <w:bCs/>
          <w:sz w:val="24"/>
          <w:szCs w:val="24"/>
          <w:lang w:eastAsia="it-IT"/>
        </w:rPr>
        <w:lastRenderedPageBreak/>
        <w:t xml:space="preserve">7) QUALI MISURE SONO STATE PRESE PER ASSICURARE LA SICUREZZA E L’EFFICACIA NELL’USO DI </w:t>
      </w:r>
      <w:r w:rsidR="005D1529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167E889D" w:rsidR="004241AC" w:rsidRPr="00346E6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346E6C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4241AC" w:rsidRPr="00346E6C">
        <w:rPr>
          <w:rFonts w:eastAsia="Calibri" w:cstheme="minorHAnsi"/>
          <w:sz w:val="24"/>
          <w:szCs w:val="24"/>
          <w:lang w:eastAsia="it-IT"/>
        </w:rPr>
        <w:t>.</w:t>
      </w:r>
    </w:p>
    <w:p w14:paraId="3FBA7CE4" w14:textId="77777777" w:rsidR="00663BCD" w:rsidRPr="00346E6C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634A5166" w:rsidR="004241AC" w:rsidRPr="00346E6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5D1529" w:rsidRPr="00346E6C">
        <w:rPr>
          <w:rFonts w:eastAsia="Calibri" w:cstheme="minorHAnsi"/>
          <w:b/>
          <w:color w:val="000000"/>
          <w:sz w:val="24"/>
          <w:szCs w:val="24"/>
          <w:lang w:eastAsia="it-IT"/>
        </w:rPr>
        <w:t>TELEVITICA</w:t>
      </w:r>
    </w:p>
    <w:p w14:paraId="317999E8" w14:textId="6B997883" w:rsidR="004241AC" w:rsidRPr="00346E6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346E6C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0E51EE" w:rsidRPr="00346E6C">
        <w:rPr>
          <w:rFonts w:eastAsia="Calibri" w:cstheme="minorHAnsi"/>
          <w:bCs/>
          <w:iCs/>
          <w:sz w:val="24"/>
          <w:szCs w:val="24"/>
          <w:lang w:eastAsia="it-IT"/>
        </w:rPr>
        <w:t>7 novembre 2024</w:t>
      </w:r>
      <w:r w:rsidRPr="00346E6C"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346E6C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346E6C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3CFB3F47" w:rsidR="004241AC" w:rsidRPr="00346E6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7170D7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346E6C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346E6C">
        <w:rPr>
          <w:rFonts w:eastAsia="Calibri" w:cstheme="minorHAnsi"/>
          <w:sz w:val="24"/>
          <w:szCs w:val="24"/>
          <w:lang w:eastAsia="it-IT"/>
        </w:rPr>
        <w:t>(</w:t>
      </w:r>
      <w:hyperlink r:id="rId9" w:history="1">
        <w:r w:rsidR="00567615" w:rsidRPr="00346E6C">
          <w:rPr>
            <w:rStyle w:val="Collegamentoipertestuale"/>
            <w:rFonts w:eastAsia="Calibri" w:cstheme="minorHAnsi"/>
            <w:sz w:val="24"/>
            <w:szCs w:val="24"/>
            <w:u w:val="none"/>
            <w:lang w:eastAsia="it-IT"/>
          </w:rPr>
          <w:t>https://farmaci.agenziafarmaco.gov.it/bancadatifarmaci</w:t>
        </w:r>
      </w:hyperlink>
      <w:r w:rsidR="00567615" w:rsidRPr="00346E6C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346E6C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346E6C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346E6C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346E6C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596537FA" w:rsidR="004241AC" w:rsidRPr="00346E6C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346E6C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713EF8" w:rsidRPr="00346E6C">
        <w:rPr>
          <w:rFonts w:eastAsia="Calibri" w:cstheme="minorHAnsi"/>
          <w:sz w:val="24"/>
          <w:szCs w:val="24"/>
          <w:lang w:eastAsia="it-IT"/>
        </w:rPr>
        <w:t>18/12/2024</w:t>
      </w:r>
    </w:p>
    <w:p w14:paraId="03C6C7A7" w14:textId="77777777" w:rsidR="004E5A39" w:rsidRPr="00346E6C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346E6C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346E6C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346E6C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AAA9E5" w14:textId="77777777" w:rsidR="007170D7" w:rsidRPr="00346E6C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346E6C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Pr="00346E6C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B72270" w14:textId="77777777" w:rsidR="006222F7" w:rsidRPr="00346E6C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B0E5AD" w14:textId="28E76DEF" w:rsidR="006222F7" w:rsidRPr="00346E6C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1713CD8" w14:textId="00380E34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1858B4E" w14:textId="7B3DDB78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F197249" w14:textId="5E4211BD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7AF7AD8" w14:textId="12087BA0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7B63B7" w14:textId="1AAD6555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9153F68" w14:textId="0F2E1DE0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3CCA7A" w14:textId="72309BAF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DD18208" w14:textId="797657AD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C0E81D5" w14:textId="63979720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98DA328" w14:textId="59B90B06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AE8C8B0" w14:textId="3F67C3CE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ACF94B3" w14:textId="588848DA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F5FCB60" w14:textId="1B216882" w:rsidR="009D6D31" w:rsidRPr="00346E6C" w:rsidRDefault="009D6D3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B31246" w14:textId="317F556D" w:rsidR="00713EF8" w:rsidRPr="00346E6C" w:rsidRDefault="00713EF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CFD06B1" w14:textId="11F6BB2D" w:rsidR="00863E9B" w:rsidRPr="00346E6C" w:rsidRDefault="00863E9B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775F06" w14:textId="1B85536E" w:rsidR="00863E9B" w:rsidRPr="00346E6C" w:rsidRDefault="00863E9B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4DE6C2A" w14:textId="43E872DB" w:rsidR="00863E9B" w:rsidRPr="00346E6C" w:rsidRDefault="00863E9B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78B0F1A" w14:textId="77777777" w:rsidR="00863E9B" w:rsidRPr="00346E6C" w:rsidRDefault="00863E9B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77777777" w:rsidR="004E5A39" w:rsidRPr="00346E6C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lastRenderedPageBreak/>
        <w:t>RELAZIONE PUBBLICA DI VALUTAZIONE</w:t>
      </w:r>
    </w:p>
    <w:p w14:paraId="692C325E" w14:textId="77777777" w:rsidR="004E5A39" w:rsidRPr="00346E6C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346E6C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346E6C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346E6C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346E6C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346E6C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346E6C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346E6C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346E6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346E6C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346E6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346E6C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346E6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346E6C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346E6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346E6C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346E6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346E6C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346E6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346E6C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346E6C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346E6C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346E6C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346E6C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Pr="00346E6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346E6C" w:rsidRDefault="008B214E" w:rsidP="004E5A39">
      <w:pPr>
        <w:rPr>
          <w:rFonts w:cstheme="minorHAnsi"/>
          <w:sz w:val="24"/>
          <w:szCs w:val="24"/>
        </w:rPr>
      </w:pPr>
    </w:p>
    <w:p w14:paraId="7AAE4DA1" w14:textId="77777777" w:rsidR="0099120C" w:rsidRPr="00346E6C" w:rsidRDefault="0099120C" w:rsidP="004E5A39">
      <w:pPr>
        <w:rPr>
          <w:rFonts w:cstheme="minorHAnsi"/>
          <w:sz w:val="24"/>
          <w:szCs w:val="24"/>
        </w:rPr>
      </w:pPr>
    </w:p>
    <w:p w14:paraId="0BE500BE" w14:textId="77777777" w:rsidR="006222F7" w:rsidRPr="00346E6C" w:rsidRDefault="006222F7" w:rsidP="004E5A39">
      <w:pPr>
        <w:rPr>
          <w:rFonts w:cstheme="minorHAnsi"/>
          <w:sz w:val="24"/>
          <w:szCs w:val="24"/>
        </w:rPr>
      </w:pPr>
    </w:p>
    <w:p w14:paraId="6B5A3830" w14:textId="59990961" w:rsidR="00EF6711" w:rsidRPr="00346E6C" w:rsidRDefault="00EF6711" w:rsidP="004E5A39">
      <w:pPr>
        <w:rPr>
          <w:rFonts w:cstheme="minorHAnsi"/>
          <w:sz w:val="24"/>
          <w:szCs w:val="24"/>
        </w:rPr>
      </w:pPr>
    </w:p>
    <w:p w14:paraId="5F09B962" w14:textId="09907AF5" w:rsidR="000E51EE" w:rsidRDefault="000E51EE" w:rsidP="004E5A39">
      <w:pPr>
        <w:rPr>
          <w:rFonts w:cstheme="minorHAnsi"/>
          <w:sz w:val="24"/>
          <w:szCs w:val="24"/>
        </w:rPr>
      </w:pPr>
    </w:p>
    <w:p w14:paraId="06C9C0FB" w14:textId="77777777" w:rsidR="00E84B17" w:rsidRPr="00346E6C" w:rsidRDefault="00E84B17" w:rsidP="004E5A39">
      <w:pPr>
        <w:rPr>
          <w:rFonts w:cstheme="minorHAnsi"/>
          <w:sz w:val="24"/>
          <w:szCs w:val="24"/>
        </w:rPr>
      </w:pPr>
    </w:p>
    <w:p w14:paraId="7F2A67FE" w14:textId="77777777" w:rsidR="004E5A39" w:rsidRPr="00346E6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lastRenderedPageBreak/>
        <w:t>INTRODUZIONE</w:t>
      </w:r>
    </w:p>
    <w:p w14:paraId="3C06DA92" w14:textId="77777777" w:rsidR="004C0689" w:rsidRPr="00346E6C" w:rsidRDefault="004C068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8E48478" w14:textId="6559AB20" w:rsidR="004E5A39" w:rsidRPr="00346E6C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812C19" w:rsidRPr="00346E6C">
        <w:rPr>
          <w:rFonts w:cstheme="minorHAnsi"/>
          <w:sz w:val="24"/>
          <w:szCs w:val="24"/>
        </w:rPr>
        <w:t xml:space="preserve">ABIOGEN PHARMA S.p.A. </w:t>
      </w:r>
      <w:r w:rsidR="00B1186F" w:rsidRPr="00346E6C">
        <w:rPr>
          <w:rFonts w:cstheme="minorHAnsi"/>
          <w:sz w:val="24"/>
          <w:szCs w:val="24"/>
        </w:rPr>
        <w:t xml:space="preserve"> </w:t>
      </w:r>
      <w:r w:rsidRPr="00346E6C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7170D7" w:rsidRPr="00346E6C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346E6C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0E51EE" w:rsidRPr="00346E6C">
        <w:rPr>
          <w:rFonts w:eastAsia="Calibri" w:cstheme="minorHAnsi"/>
          <w:bCs/>
          <w:iCs/>
          <w:sz w:val="24"/>
          <w:szCs w:val="24"/>
          <w:lang w:eastAsia="it-IT"/>
        </w:rPr>
        <w:t>7 novembre 2024</w:t>
      </w:r>
      <w:r w:rsidR="00812C19" w:rsidRPr="00346E6C">
        <w:rPr>
          <w:rFonts w:eastAsia="Calibri" w:cstheme="minorHAnsi"/>
          <w:bCs/>
          <w:iCs/>
          <w:sz w:val="24"/>
          <w:szCs w:val="24"/>
          <w:lang w:eastAsia="it-IT"/>
        </w:rPr>
        <w:t>.</w:t>
      </w:r>
      <w:r w:rsidRPr="00346E6C">
        <w:rPr>
          <w:rFonts w:cstheme="minorHAnsi"/>
          <w:sz w:val="24"/>
          <w:szCs w:val="24"/>
        </w:rPr>
        <w:t xml:space="preserve">  </w:t>
      </w:r>
    </w:p>
    <w:p w14:paraId="11BAB98D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5FD2FCC" w14:textId="77777777" w:rsidR="000E51EE" w:rsidRPr="00346E6C" w:rsidRDefault="005D1529" w:rsidP="000E51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7170D7" w:rsidRPr="00346E6C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0E51EE" w:rsidRPr="00346E6C">
        <w:rPr>
          <w:rFonts w:eastAsia="Calibri" w:cstheme="minorHAnsi"/>
          <w:color w:val="000000"/>
          <w:sz w:val="24"/>
          <w:szCs w:val="24"/>
          <w:lang w:eastAsia="it-IT"/>
        </w:rPr>
        <w:t>è un medicinale di automedicazione (OTC) e non necessita di prescrizione del medico.</w:t>
      </w:r>
    </w:p>
    <w:p w14:paraId="5D6155EC" w14:textId="77777777" w:rsidR="000E51EE" w:rsidRPr="00346E6C" w:rsidRDefault="000E51EE" w:rsidP="000E51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17215085" w:rsidR="004E5A39" w:rsidRPr="00346E6C" w:rsidRDefault="004E5A39" w:rsidP="000E51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Questa procedura è stata presentata ai sensi dell’art. </w:t>
      </w:r>
      <w:r w:rsidR="000E51EE" w:rsidRPr="00346E6C">
        <w:rPr>
          <w:rFonts w:cstheme="minorHAnsi"/>
          <w:sz w:val="24"/>
          <w:szCs w:val="24"/>
        </w:rPr>
        <w:t>10(</w:t>
      </w:r>
      <w:r w:rsidR="002E0447" w:rsidRPr="00346E6C">
        <w:rPr>
          <w:rFonts w:cstheme="minorHAnsi"/>
          <w:sz w:val="24"/>
          <w:szCs w:val="24"/>
        </w:rPr>
        <w:t xml:space="preserve">3) </w:t>
      </w:r>
      <w:r w:rsidRPr="00346E6C">
        <w:rPr>
          <w:rFonts w:cstheme="minorHAnsi"/>
          <w:sz w:val="24"/>
          <w:szCs w:val="24"/>
        </w:rPr>
        <w:t>della Direttiva 2001/83/EU s.m.i.</w:t>
      </w:r>
      <w:r w:rsidR="00F964BE" w:rsidRPr="00346E6C">
        <w:rPr>
          <w:rFonts w:cstheme="minorHAnsi"/>
          <w:sz w:val="24"/>
          <w:szCs w:val="24"/>
        </w:rPr>
        <w:t xml:space="preserve"> (</w:t>
      </w:r>
      <w:r w:rsidR="00812C19" w:rsidRPr="00346E6C">
        <w:rPr>
          <w:rFonts w:cstheme="minorHAnsi"/>
          <w:sz w:val="24"/>
          <w:szCs w:val="24"/>
        </w:rPr>
        <w:t>hybrid application</w:t>
      </w:r>
      <w:r w:rsidR="00F964BE" w:rsidRPr="00346E6C">
        <w:rPr>
          <w:rFonts w:cstheme="minorHAnsi"/>
          <w:sz w:val="24"/>
          <w:szCs w:val="24"/>
        </w:rPr>
        <w:t>)</w:t>
      </w:r>
    </w:p>
    <w:p w14:paraId="110C1118" w14:textId="77777777" w:rsidR="0098470E" w:rsidRPr="00346E6C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36C357" w14:textId="00D9B130" w:rsidR="004E5A39" w:rsidRPr="00346E6C" w:rsidRDefault="005D1529" w:rsidP="00812C19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42214D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 xml:space="preserve">è un medicinale </w:t>
      </w:r>
      <w:r w:rsidR="00812C19" w:rsidRPr="00346E6C">
        <w:rPr>
          <w:rFonts w:eastAsia="Calibri" w:cstheme="minorHAnsi"/>
          <w:sz w:val="24"/>
          <w:szCs w:val="24"/>
          <w:lang w:eastAsia="it-IT"/>
        </w:rPr>
        <w:t xml:space="preserve">generico 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 xml:space="preserve">contenente </w:t>
      </w:r>
      <w:r w:rsidR="00812C19" w:rsidRPr="00346E6C">
        <w:rPr>
          <w:rFonts w:eastAsia="Calibri" w:cstheme="minorHAnsi"/>
          <w:sz w:val="24"/>
          <w:szCs w:val="24"/>
          <w:lang w:eastAsia="it-IT"/>
        </w:rPr>
        <w:t xml:space="preserve">il 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>principio attivo</w:t>
      </w:r>
      <w:r w:rsidR="0099120C" w:rsidRPr="00346E6C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>noto</w:t>
      </w:r>
      <w:r w:rsidR="0042214D" w:rsidRPr="00346E6C">
        <w:rPr>
          <w:rFonts w:eastAsia="Calibri" w:cstheme="minorHAnsi"/>
          <w:sz w:val="24"/>
          <w:szCs w:val="24"/>
          <w:lang w:eastAsia="it-IT"/>
        </w:rPr>
        <w:t xml:space="preserve"> </w:t>
      </w:r>
      <w:r w:rsidR="00812C19" w:rsidRPr="00346E6C">
        <w:rPr>
          <w:rFonts w:eastAsia="Calibri" w:cstheme="minorHAnsi"/>
          <w:sz w:val="24"/>
          <w:szCs w:val="24"/>
          <w:lang w:eastAsia="it-IT"/>
        </w:rPr>
        <w:t>xilometazolina cloridrato</w:t>
      </w:r>
      <w:r w:rsidR="00F964BE" w:rsidRPr="00346E6C">
        <w:rPr>
          <w:rFonts w:eastAsia="Calibri" w:cstheme="minorHAnsi"/>
          <w:sz w:val="24"/>
          <w:szCs w:val="24"/>
          <w:lang w:eastAsia="it-IT"/>
        </w:rPr>
        <w:t xml:space="preserve"> e 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346E6C">
        <w:rPr>
          <w:rFonts w:eastAsia="Calibri" w:cstheme="minorHAnsi"/>
          <w:sz w:val="24"/>
          <w:szCs w:val="24"/>
          <w:lang w:eastAsia="it-IT"/>
        </w:rPr>
        <w:t>e</w:t>
      </w:r>
      <w:r w:rsidR="00812C19" w:rsidRPr="00346E6C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>nel medicinale di riferimento</w:t>
      </w:r>
      <w:r w:rsidR="00812C19" w:rsidRPr="00346E6C">
        <w:rPr>
          <w:rFonts w:eastAsia="Calibri" w:cstheme="minorHAnsi"/>
          <w:sz w:val="24"/>
          <w:szCs w:val="24"/>
          <w:lang w:eastAsia="it-IT"/>
        </w:rPr>
        <w:t xml:space="preserve"> </w:t>
      </w:r>
      <w:r w:rsidR="0040622B">
        <w:rPr>
          <w:rFonts w:eastAsia="Calibri" w:cstheme="minorHAnsi"/>
          <w:color w:val="000000"/>
          <w:sz w:val="24"/>
          <w:szCs w:val="24"/>
          <w:lang w:eastAsia="it-IT"/>
        </w:rPr>
        <w:t>RinaAdvance</w:t>
      </w:r>
      <w:r w:rsidR="0042214D" w:rsidRPr="00346E6C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346E6C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>anni</w:t>
      </w:r>
      <w:r w:rsidR="00812C19" w:rsidRPr="00346E6C">
        <w:rPr>
          <w:rFonts w:eastAsia="Calibri" w:cstheme="minorHAnsi"/>
          <w:sz w:val="24"/>
          <w:szCs w:val="24"/>
          <w:lang w:eastAsia="it-IT"/>
        </w:rPr>
        <w:t>.</w:t>
      </w:r>
    </w:p>
    <w:p w14:paraId="51892763" w14:textId="77777777" w:rsidR="00812C19" w:rsidRPr="00346E6C" w:rsidRDefault="00812C19" w:rsidP="00812C19">
      <w:pPr>
        <w:widowControl w:val="0"/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24DE5B8" w14:textId="01C07EDB" w:rsidR="00812C19" w:rsidRPr="00346E6C" w:rsidRDefault="005D1529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4E5A39" w:rsidRPr="00346E6C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346E6C">
        <w:rPr>
          <w:rFonts w:cstheme="minorHAnsi"/>
          <w:sz w:val="24"/>
          <w:szCs w:val="24"/>
        </w:rPr>
        <w:t>il cui c</w:t>
      </w:r>
      <w:r w:rsidR="004E5A39" w:rsidRPr="00346E6C">
        <w:rPr>
          <w:rFonts w:cstheme="minorHAnsi"/>
          <w:iCs/>
          <w:sz w:val="24"/>
          <w:szCs w:val="24"/>
        </w:rPr>
        <w:t xml:space="preserve">odice ATC è </w:t>
      </w:r>
      <w:r w:rsidR="00812C19" w:rsidRPr="00346E6C">
        <w:rPr>
          <w:rFonts w:cstheme="minorHAnsi"/>
          <w:iCs/>
          <w:sz w:val="24"/>
          <w:szCs w:val="24"/>
        </w:rPr>
        <w:t>R01AA07</w:t>
      </w:r>
      <w:r w:rsidR="004E5A39" w:rsidRPr="00346E6C">
        <w:rPr>
          <w:rFonts w:eastAsia="DejaVuSans" w:cstheme="minorHAnsi"/>
          <w:sz w:val="24"/>
          <w:szCs w:val="24"/>
        </w:rPr>
        <w:t>,</w:t>
      </w:r>
      <w:r w:rsidR="004E5A39" w:rsidRPr="00346E6C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346E6C">
        <w:rPr>
          <w:rFonts w:eastAsia="Calibri" w:cstheme="minorHAnsi"/>
          <w:sz w:val="24"/>
          <w:szCs w:val="24"/>
          <w:lang w:eastAsia="it-IT"/>
        </w:rPr>
        <w:t>il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346E6C">
        <w:rPr>
          <w:rFonts w:eastAsia="Calibri" w:cstheme="minorHAnsi"/>
          <w:sz w:val="24"/>
          <w:szCs w:val="24"/>
          <w:lang w:eastAsia="it-IT"/>
        </w:rPr>
        <w:t>o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346E6C">
        <w:rPr>
          <w:rFonts w:eastAsia="Calibri" w:cstheme="minorHAnsi"/>
          <w:sz w:val="24"/>
          <w:szCs w:val="24"/>
          <w:lang w:eastAsia="it-IT"/>
        </w:rPr>
        <w:t>o</w:t>
      </w:r>
      <w:r w:rsidR="004E5A39" w:rsidRPr="00346E6C">
        <w:rPr>
          <w:rFonts w:eastAsia="Calibri" w:cstheme="minorHAnsi"/>
          <w:sz w:val="24"/>
          <w:szCs w:val="24"/>
          <w:lang w:eastAsia="it-IT"/>
        </w:rPr>
        <w:t xml:space="preserve"> </w:t>
      </w:r>
      <w:r w:rsidR="00812C19" w:rsidRPr="00346E6C">
        <w:rPr>
          <w:rFonts w:eastAsia="Calibri" w:cstheme="minorHAnsi"/>
          <w:sz w:val="24"/>
          <w:szCs w:val="24"/>
          <w:lang w:eastAsia="it-IT"/>
        </w:rPr>
        <w:t>xilometazolina cloridrato</w:t>
      </w:r>
      <w:r w:rsidR="00B1186F" w:rsidRPr="00346E6C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812C19" w:rsidRPr="00346E6C">
        <w:rPr>
          <w:rFonts w:eastAsia="Calibri" w:cstheme="minorHAnsi"/>
          <w:bCs/>
          <w:sz w:val="24"/>
          <w:szCs w:val="24"/>
          <w:lang w:eastAsia="it-IT"/>
        </w:rPr>
        <w:t>un agente simpaticomimetico che agisce sui recettori alfa-adrenergici nella mucosa nasale. L’applicazione nasale, per effetto dell’azione vasocostrittrice periferica, decongestiona la mucosa del naso e delle adiacenti regioni faringee. L’effetto d</w:t>
      </w:r>
      <w:r w:rsidR="002E0447" w:rsidRPr="00346E6C">
        <w:rPr>
          <w:rFonts w:eastAsia="Calibri" w:cstheme="minorHAnsi"/>
          <w:bCs/>
          <w:sz w:val="24"/>
          <w:szCs w:val="24"/>
          <w:lang w:eastAsia="it-IT"/>
        </w:rPr>
        <w:t>ella</w:t>
      </w:r>
      <w:r w:rsidR="00812C19" w:rsidRPr="00346E6C">
        <w:rPr>
          <w:rFonts w:eastAsia="Calibri" w:cstheme="minorHAnsi"/>
          <w:bCs/>
          <w:sz w:val="24"/>
          <w:szCs w:val="24"/>
          <w:lang w:eastAsia="it-IT"/>
        </w:rPr>
        <w:t xml:space="preserve"> xilometazolina si instaura nel corso di pochi minuti e si protrae fino a 10 ore.</w:t>
      </w:r>
    </w:p>
    <w:p w14:paraId="7A21CE17" w14:textId="77777777" w:rsidR="00EF6711" w:rsidRPr="00346E6C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57C36EE1" w14:textId="6DFBD4C0" w:rsidR="00D36F9A" w:rsidRPr="00346E6C" w:rsidRDefault="005D1529" w:rsidP="002E0447">
      <w:pPr>
        <w:jc w:val="both"/>
        <w:rPr>
          <w:rFonts w:cstheme="minorHAnsi"/>
          <w:sz w:val="24"/>
          <w:szCs w:val="24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42214D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346E6C">
        <w:rPr>
          <w:rFonts w:cstheme="minorHAnsi"/>
          <w:sz w:val="24"/>
          <w:szCs w:val="24"/>
        </w:rPr>
        <w:t>è utilizzato per</w:t>
      </w:r>
      <w:r w:rsidR="00812C19" w:rsidRPr="00346E6C">
        <w:rPr>
          <w:rFonts w:cstheme="minorHAnsi"/>
          <w:sz w:val="24"/>
          <w:szCs w:val="24"/>
        </w:rPr>
        <w:t xml:space="preserve"> il trattamento sintomatico temporaneo della congestione nasale (in caso di raffreddore, febbre da fieno o altre riniti allergiche, sinusite) in adulti e adolescenti di età compresa tra 12 e 18 anni.</w:t>
      </w:r>
    </w:p>
    <w:p w14:paraId="294ED284" w14:textId="3A6F26C0" w:rsidR="00D36F9A" w:rsidRPr="00346E6C" w:rsidRDefault="005D1529" w:rsidP="00D36F9A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D36F9A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 ed è considerato </w:t>
      </w:r>
      <w:r w:rsidR="00712DB3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terapeuticamente equivalente </w:t>
      </w:r>
      <w:r w:rsidR="00D36F9A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al medicinale di riferimento </w:t>
      </w:r>
      <w:r w:rsidR="0040622B">
        <w:rPr>
          <w:rFonts w:eastAsia="Calibri" w:cstheme="minorHAnsi"/>
          <w:color w:val="000000"/>
          <w:sz w:val="24"/>
          <w:szCs w:val="24"/>
          <w:lang w:eastAsia="it-IT"/>
        </w:rPr>
        <w:t>RinaAdvance</w:t>
      </w:r>
      <w:r w:rsidR="002E0447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D36F9A" w:rsidRPr="00346E6C">
        <w:rPr>
          <w:rFonts w:eastAsia="Calibri" w:cstheme="minorHAnsi"/>
          <w:color w:val="000000"/>
          <w:sz w:val="24"/>
          <w:szCs w:val="24"/>
          <w:lang w:eastAsia="it-IT"/>
        </w:rPr>
        <w:t>quindi con lo stesso rapporto rischio/ beneficio.</w:t>
      </w:r>
    </w:p>
    <w:p w14:paraId="4FEEC9ED" w14:textId="0B83232D" w:rsidR="00D36F9A" w:rsidRPr="00346E6C" w:rsidRDefault="005D1529" w:rsidP="00D36F9A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D36F9A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 del medicinale </w:t>
      </w:r>
      <w:r w:rsidR="00A247C5" w:rsidRPr="00346E6C">
        <w:rPr>
          <w:rFonts w:eastAsia="Calibri" w:cstheme="minorHAnsi"/>
          <w:color w:val="000000"/>
          <w:sz w:val="24"/>
          <w:szCs w:val="24"/>
          <w:lang w:eastAsia="it-IT"/>
        </w:rPr>
        <w:t>d</w:t>
      </w:r>
      <w:r w:rsidR="00D36F9A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i riferimento </w:t>
      </w:r>
      <w:r w:rsidR="0040622B">
        <w:rPr>
          <w:rFonts w:eastAsia="Calibri" w:cstheme="minorHAnsi"/>
          <w:color w:val="000000"/>
          <w:sz w:val="24"/>
          <w:szCs w:val="24"/>
          <w:lang w:eastAsia="it-IT"/>
        </w:rPr>
        <w:t>RinaAdvance</w:t>
      </w:r>
      <w:r w:rsidR="00D36F9A" w:rsidRPr="00346E6C">
        <w:rPr>
          <w:rFonts w:eastAsia="Calibri" w:cstheme="minorHAnsi"/>
          <w:color w:val="000000"/>
          <w:sz w:val="24"/>
          <w:szCs w:val="24"/>
          <w:lang w:eastAsia="it-IT"/>
        </w:rPr>
        <w:t>, contene</w:t>
      </w:r>
      <w:r w:rsidR="00712DB3" w:rsidRPr="00346E6C">
        <w:rPr>
          <w:rFonts w:eastAsia="Calibri" w:cstheme="minorHAnsi"/>
          <w:color w:val="000000"/>
          <w:sz w:val="24"/>
          <w:szCs w:val="24"/>
          <w:lang w:eastAsia="it-IT"/>
        </w:rPr>
        <w:t>nte lo stesso principio attivo</w:t>
      </w:r>
      <w:r w:rsidR="00812C19" w:rsidRPr="00346E6C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1DB56BD5" w14:textId="0A14CA84" w:rsidR="00CF08A6" w:rsidRPr="00346E6C" w:rsidRDefault="00CF08A6" w:rsidP="004020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 w:rsidRPr="00346E6C">
        <w:rPr>
          <w:rFonts w:cstheme="minorHAnsi"/>
          <w:i/>
          <w:sz w:val="24"/>
          <w:szCs w:val="24"/>
        </w:rPr>
        <w:t>Good Manufacturing Practice</w:t>
      </w:r>
      <w:r w:rsidRPr="00346E6C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3C239D03" w:rsidR="00B862CA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Il sistema di Farmacovigilanza descritto dal titolare dell’AIC è conforme ai requisiti previsti dalla normativa corrente. E’ stato presentato un Piano di gestione del rischio (</w:t>
      </w:r>
      <w:r w:rsidRPr="00346E6C">
        <w:rPr>
          <w:rFonts w:cstheme="minorHAnsi"/>
          <w:i/>
          <w:sz w:val="24"/>
          <w:szCs w:val="24"/>
        </w:rPr>
        <w:t>Risk Management Plan</w:t>
      </w:r>
      <w:r w:rsidRPr="00346E6C">
        <w:rPr>
          <w:rFonts w:cstheme="minorHAnsi"/>
          <w:sz w:val="24"/>
          <w:szCs w:val="24"/>
        </w:rPr>
        <w:t xml:space="preserve"> – RMP) accettabile.</w:t>
      </w:r>
      <w:r w:rsidR="00F964BE" w:rsidRPr="00346E6C">
        <w:rPr>
          <w:rFonts w:cstheme="minorHAnsi"/>
          <w:sz w:val="24"/>
          <w:szCs w:val="24"/>
        </w:rPr>
        <w:t xml:space="preserve"> </w:t>
      </w:r>
    </w:p>
    <w:p w14:paraId="3D4B4FA3" w14:textId="77777777" w:rsidR="00402040" w:rsidRPr="00346E6C" w:rsidRDefault="00402040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1716AA" w14:textId="16AC7EC8" w:rsidR="004E5A39" w:rsidRPr="00346E6C" w:rsidRDefault="004E5A39" w:rsidP="00EF6711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cstheme="minorHAnsi"/>
          <w:sz w:val="24"/>
          <w:szCs w:val="24"/>
        </w:rPr>
        <w:t>Il titolare di AIC ha presentato</w:t>
      </w:r>
      <w:r w:rsidR="00285241" w:rsidRPr="00346E6C">
        <w:rPr>
          <w:rFonts w:cstheme="minorHAnsi"/>
          <w:sz w:val="24"/>
          <w:szCs w:val="24"/>
        </w:rPr>
        <w:t xml:space="preserve"> una valutazione del rischio ambientale (Environmental Risk Assessment) in accordo alla Linea</w:t>
      </w:r>
      <w:r w:rsidR="002E0447" w:rsidRPr="00346E6C">
        <w:rPr>
          <w:rFonts w:cstheme="minorHAnsi"/>
          <w:sz w:val="24"/>
          <w:szCs w:val="24"/>
        </w:rPr>
        <w:t xml:space="preserve"> G</w:t>
      </w:r>
      <w:r w:rsidR="00285241" w:rsidRPr="00346E6C">
        <w:rPr>
          <w:rFonts w:cstheme="minorHAnsi"/>
          <w:sz w:val="24"/>
          <w:szCs w:val="24"/>
        </w:rPr>
        <w:t xml:space="preserve">uida EMEA/CHMP/SWP/4447/00 corr. 2 del </w:t>
      </w:r>
      <w:r w:rsidR="00B23E82" w:rsidRPr="00346E6C">
        <w:rPr>
          <w:rFonts w:cstheme="minorHAnsi"/>
          <w:sz w:val="24"/>
          <w:szCs w:val="24"/>
        </w:rPr>
        <w:t xml:space="preserve">2006 </w:t>
      </w:r>
      <w:r w:rsidR="00B23E82" w:rsidRPr="00346E6C">
        <w:rPr>
          <w:rFonts w:eastAsia="Calibri" w:cstheme="minorHAnsi"/>
          <w:color w:val="000000"/>
          <w:sz w:val="24"/>
          <w:szCs w:val="24"/>
          <w:lang w:eastAsia="it-IT"/>
        </w:rPr>
        <w:t>da cui si evince che l’immissione in commercio di TELEVITICA contenente xilometazolina nella formulazione proposta non comporta rischi per l’ambiente.</w:t>
      </w:r>
    </w:p>
    <w:p w14:paraId="1AD175BE" w14:textId="709EC2C7" w:rsidR="004C0689" w:rsidRPr="00346E6C" w:rsidRDefault="004C068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5A33472" w14:textId="311FBF79" w:rsidR="004C0689" w:rsidRPr="00346E6C" w:rsidRDefault="004C068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01586E" w14:textId="77777777" w:rsidR="004C0689" w:rsidRPr="00346E6C" w:rsidRDefault="004C068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346E6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lastRenderedPageBreak/>
        <w:t>ASPETTI DI QUALITA’</w:t>
      </w:r>
    </w:p>
    <w:p w14:paraId="7D0E7D57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 xml:space="preserve">II.1 PRINCIPIO ATTIVO </w:t>
      </w:r>
      <w:r w:rsidR="00CC52A3" w:rsidRPr="00346E6C">
        <w:rPr>
          <w:rFonts w:cstheme="minorHAnsi"/>
          <w:b/>
          <w:sz w:val="24"/>
          <w:szCs w:val="24"/>
        </w:rPr>
        <w:t>……………..</w:t>
      </w:r>
    </w:p>
    <w:p w14:paraId="036B5634" w14:textId="3E2F3816" w:rsidR="00402040" w:rsidRPr="00346E6C" w:rsidRDefault="00402040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INN: </w:t>
      </w:r>
    </w:p>
    <w:p w14:paraId="2FEB5D4E" w14:textId="44F879F7" w:rsidR="004E5A39" w:rsidRPr="00346E6C" w:rsidRDefault="00B51571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346E6C">
        <w:rPr>
          <w:rFonts w:cstheme="minorHAnsi"/>
          <w:sz w:val="24"/>
          <w:szCs w:val="24"/>
        </w:rPr>
        <w:t>Denominazione</w:t>
      </w:r>
      <w:r w:rsidR="004E5A39" w:rsidRPr="00346E6C">
        <w:rPr>
          <w:rFonts w:cstheme="minorHAnsi"/>
          <w:sz w:val="24"/>
          <w:szCs w:val="24"/>
        </w:rPr>
        <w:t xml:space="preserve"> chimic</w:t>
      </w:r>
      <w:r w:rsidR="00402040" w:rsidRPr="00346E6C">
        <w:rPr>
          <w:rFonts w:cstheme="minorHAnsi"/>
          <w:sz w:val="24"/>
          <w:szCs w:val="24"/>
        </w:rPr>
        <w:t>a: 2-[4-(1,1-Dimethylethyl)-2,6-dimethylbenzyl]-4,5-dihydro-1H-imidazole hydrochloride.</w:t>
      </w:r>
      <w:r w:rsidR="000E4494" w:rsidRPr="00346E6C">
        <w:rPr>
          <w:rFonts w:cstheme="minorHAnsi"/>
          <w:i/>
          <w:iCs/>
          <w:sz w:val="24"/>
          <w:szCs w:val="24"/>
        </w:rPr>
        <w:t xml:space="preserve"> </w:t>
      </w:r>
      <w:r w:rsidR="00CC52A3" w:rsidRPr="00346E6C">
        <w:rPr>
          <w:rFonts w:cstheme="minorHAnsi"/>
          <w:sz w:val="24"/>
          <w:szCs w:val="24"/>
        </w:rPr>
        <w:t>……………………</w:t>
      </w:r>
      <w:r w:rsidR="004E5A39" w:rsidRPr="00346E6C">
        <w:rPr>
          <w:rStyle w:val="s1"/>
          <w:rFonts w:asciiTheme="minorHAnsi" w:hAnsiTheme="minorHAnsi" w:cstheme="minorHAnsi"/>
          <w:sz w:val="24"/>
          <w:szCs w:val="24"/>
        </w:rPr>
        <w:t>.</w:t>
      </w:r>
    </w:p>
    <w:p w14:paraId="736745FC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Struttura:</w:t>
      </w:r>
    </w:p>
    <w:p w14:paraId="59874799" w14:textId="1BC49660" w:rsidR="004E5A39" w:rsidRPr="00346E6C" w:rsidRDefault="00402040" w:rsidP="00402040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  <w:r w:rsidRPr="00346E6C">
        <w:rPr>
          <w:noProof/>
          <w:lang w:eastAsia="it-IT"/>
        </w:rPr>
        <w:drawing>
          <wp:inline distT="0" distB="0" distL="0" distR="0" wp14:anchorId="5FC9AA4E" wp14:editId="202B596F">
            <wp:extent cx="2713939" cy="137469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2798" t="48423" r="50981" b="36970"/>
                    <a:stretch/>
                  </pic:blipFill>
                  <pic:spPr bwMode="auto">
                    <a:xfrm>
                      <a:off x="0" y="0"/>
                      <a:ext cx="2743730" cy="1389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D29F89" w14:textId="72888BAE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Formula molecolare:</w:t>
      </w:r>
      <w:r w:rsidRPr="00346E6C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402040" w:rsidRPr="00346E6C">
        <w:rPr>
          <w:rStyle w:val="s1"/>
          <w:rFonts w:asciiTheme="minorHAnsi" w:hAnsiTheme="minorHAnsi" w:cstheme="minorHAnsi"/>
          <w:sz w:val="24"/>
          <w:szCs w:val="24"/>
        </w:rPr>
        <w:t>C</w:t>
      </w:r>
      <w:r w:rsidR="00402040" w:rsidRPr="00346E6C">
        <w:rPr>
          <w:rStyle w:val="s1"/>
          <w:rFonts w:asciiTheme="minorHAnsi" w:hAnsiTheme="minorHAnsi" w:cstheme="minorHAnsi"/>
          <w:sz w:val="24"/>
          <w:szCs w:val="24"/>
          <w:vertAlign w:val="subscript"/>
        </w:rPr>
        <w:t>16</w:t>
      </w:r>
      <w:r w:rsidR="00402040" w:rsidRPr="00346E6C">
        <w:rPr>
          <w:rStyle w:val="s1"/>
          <w:rFonts w:asciiTheme="minorHAnsi" w:hAnsiTheme="minorHAnsi" w:cstheme="minorHAnsi"/>
          <w:sz w:val="24"/>
          <w:szCs w:val="24"/>
        </w:rPr>
        <w:t>H</w:t>
      </w:r>
      <w:r w:rsidR="00402040" w:rsidRPr="00346E6C">
        <w:rPr>
          <w:rStyle w:val="s1"/>
          <w:rFonts w:asciiTheme="minorHAnsi" w:hAnsiTheme="minorHAnsi" w:cstheme="minorHAnsi"/>
          <w:sz w:val="24"/>
          <w:szCs w:val="24"/>
          <w:vertAlign w:val="subscript"/>
        </w:rPr>
        <w:t>25</w:t>
      </w:r>
      <w:r w:rsidR="00402040" w:rsidRPr="00346E6C">
        <w:rPr>
          <w:rStyle w:val="s1"/>
          <w:rFonts w:asciiTheme="minorHAnsi" w:hAnsiTheme="minorHAnsi" w:cstheme="minorHAnsi"/>
          <w:sz w:val="24"/>
          <w:szCs w:val="24"/>
        </w:rPr>
        <w:t>ClN</w:t>
      </w:r>
      <w:r w:rsidR="00402040" w:rsidRPr="00346E6C">
        <w:rPr>
          <w:rStyle w:val="s1"/>
          <w:rFonts w:asciiTheme="minorHAnsi" w:hAnsiTheme="minorHAnsi" w:cstheme="minorHAnsi"/>
          <w:sz w:val="24"/>
          <w:szCs w:val="24"/>
          <w:vertAlign w:val="subscript"/>
        </w:rPr>
        <w:t>2</w:t>
      </w:r>
      <w:r w:rsidR="00402040" w:rsidRPr="00346E6C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</w:p>
    <w:p w14:paraId="6C3F1446" w14:textId="5D7E0CE6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Peso molecolare:</w:t>
      </w:r>
      <w:r w:rsidRPr="00346E6C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402040" w:rsidRPr="00346E6C">
        <w:rPr>
          <w:rFonts w:cstheme="minorHAnsi"/>
          <w:sz w:val="24"/>
          <w:szCs w:val="24"/>
        </w:rPr>
        <w:t>280,8</w:t>
      </w:r>
      <w:r w:rsidR="009A23DE" w:rsidRPr="00346E6C">
        <w:rPr>
          <w:rFonts w:cstheme="minorHAnsi"/>
          <w:sz w:val="24"/>
          <w:szCs w:val="24"/>
        </w:rPr>
        <w:t xml:space="preserve"> </w:t>
      </w:r>
      <w:r w:rsidRPr="00346E6C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65DD4B31" w14:textId="3EAD57C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Aspetto: </w:t>
      </w:r>
      <w:r w:rsidR="00402040" w:rsidRPr="00346E6C">
        <w:rPr>
          <w:rFonts w:cstheme="minorHAnsi"/>
          <w:sz w:val="24"/>
          <w:szCs w:val="24"/>
        </w:rPr>
        <w:t>polvere cristallina bianca o quasi bianca</w:t>
      </w:r>
    </w:p>
    <w:p w14:paraId="759A8671" w14:textId="6C331AE2" w:rsidR="004E5A39" w:rsidRPr="00346E6C" w:rsidRDefault="004E5A39" w:rsidP="00EF6711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Solubilità: </w:t>
      </w:r>
      <w:r w:rsidR="00402040" w:rsidRPr="00346E6C">
        <w:rPr>
          <w:rFonts w:cstheme="minorHAnsi"/>
          <w:sz w:val="24"/>
          <w:szCs w:val="24"/>
        </w:rPr>
        <w:t>liberamente solubile in acqua, in etanolo (96%) e in metanolo</w:t>
      </w:r>
    </w:p>
    <w:p w14:paraId="44248F9E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6E9A47C5" w14:textId="3F93E9E1" w:rsidR="000B7AC8" w:rsidRPr="00346E6C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Il principio attivo è presente in Farmacopea Europea e il Direttorato Europeo per la Qualità dei Medicinali (</w:t>
      </w:r>
      <w:r w:rsidRPr="00346E6C">
        <w:rPr>
          <w:rFonts w:cstheme="minorHAnsi"/>
          <w:i/>
          <w:sz w:val="24"/>
          <w:szCs w:val="24"/>
        </w:rPr>
        <w:t xml:space="preserve">European Directorate for </w:t>
      </w:r>
      <w:r w:rsidR="00747E46" w:rsidRPr="00346E6C">
        <w:rPr>
          <w:rFonts w:cstheme="minorHAnsi"/>
          <w:i/>
          <w:sz w:val="24"/>
          <w:szCs w:val="24"/>
        </w:rPr>
        <w:t xml:space="preserve">the </w:t>
      </w:r>
      <w:r w:rsidRPr="00346E6C">
        <w:rPr>
          <w:rFonts w:cstheme="minorHAnsi"/>
          <w:i/>
          <w:sz w:val="24"/>
          <w:szCs w:val="24"/>
        </w:rPr>
        <w:t>Quality of Medic</w:t>
      </w:r>
      <w:r w:rsidR="00747E46" w:rsidRPr="00346E6C">
        <w:rPr>
          <w:rFonts w:cstheme="minorHAnsi"/>
          <w:i/>
          <w:sz w:val="24"/>
          <w:szCs w:val="24"/>
        </w:rPr>
        <w:t>ines</w:t>
      </w:r>
      <w:r w:rsidRPr="00346E6C">
        <w:rPr>
          <w:rFonts w:cstheme="minorHAnsi"/>
          <w:sz w:val="24"/>
          <w:szCs w:val="24"/>
        </w:rPr>
        <w:t xml:space="preserve"> – EDQM) ha rilasciato al produttore il certificato di conformità alla Farmacopea Europea.</w:t>
      </w:r>
    </w:p>
    <w:p w14:paraId="2FC040E3" w14:textId="47C41771" w:rsidR="000B7AC8" w:rsidRPr="00346E6C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Tutti gli aspetti di produzione e controllo sono coperti dal certificato di conformità alla Farmacopea Europea. Il periodo di retest è definito in </w:t>
      </w:r>
      <w:r w:rsidR="00402040" w:rsidRPr="00346E6C">
        <w:rPr>
          <w:rFonts w:cstheme="minorHAnsi"/>
          <w:sz w:val="24"/>
          <w:szCs w:val="24"/>
        </w:rPr>
        <w:t>36</w:t>
      </w:r>
      <w:r w:rsidRPr="00346E6C">
        <w:rPr>
          <w:rFonts w:cstheme="minorHAnsi"/>
          <w:sz w:val="24"/>
          <w:szCs w:val="24"/>
        </w:rPr>
        <w:t xml:space="preserve"> mesi, quando confezionato in </w:t>
      </w:r>
      <w:r w:rsidR="001F11E7" w:rsidRPr="00346E6C">
        <w:rPr>
          <w:rFonts w:cstheme="minorHAnsi"/>
          <w:sz w:val="24"/>
          <w:szCs w:val="24"/>
        </w:rPr>
        <w:t xml:space="preserve">doppio sacchetto in polietilene (quello esterno </w:t>
      </w:r>
      <w:r w:rsidR="004C0689" w:rsidRPr="00346E6C">
        <w:rPr>
          <w:rFonts w:cstheme="minorHAnsi"/>
          <w:sz w:val="24"/>
          <w:szCs w:val="24"/>
        </w:rPr>
        <w:t xml:space="preserve">di colore </w:t>
      </w:r>
      <w:r w:rsidR="001F11E7" w:rsidRPr="00346E6C">
        <w:rPr>
          <w:rFonts w:cstheme="minorHAnsi"/>
          <w:sz w:val="24"/>
          <w:szCs w:val="24"/>
        </w:rPr>
        <w:t xml:space="preserve">nero), </w:t>
      </w:r>
      <w:r w:rsidR="004C0689" w:rsidRPr="00346E6C">
        <w:rPr>
          <w:rFonts w:cstheme="minorHAnsi"/>
          <w:sz w:val="24"/>
          <w:szCs w:val="24"/>
        </w:rPr>
        <w:t xml:space="preserve">posto </w:t>
      </w:r>
      <w:r w:rsidR="001F11E7" w:rsidRPr="00346E6C">
        <w:rPr>
          <w:rFonts w:cstheme="minorHAnsi"/>
          <w:sz w:val="24"/>
          <w:szCs w:val="24"/>
        </w:rPr>
        <w:t xml:space="preserve">all’interno </w:t>
      </w:r>
      <w:r w:rsidR="004C0689" w:rsidRPr="00346E6C">
        <w:rPr>
          <w:rFonts w:cstheme="minorHAnsi"/>
          <w:sz w:val="24"/>
          <w:szCs w:val="24"/>
        </w:rPr>
        <w:t>di</w:t>
      </w:r>
      <w:r w:rsidR="001F11E7" w:rsidRPr="00346E6C">
        <w:rPr>
          <w:rFonts w:cstheme="minorHAnsi"/>
          <w:sz w:val="24"/>
          <w:szCs w:val="24"/>
        </w:rPr>
        <w:t xml:space="preserve"> fusti in polietilene.</w:t>
      </w:r>
    </w:p>
    <w:p w14:paraId="7D8602BA" w14:textId="77777777" w:rsidR="00CC52A3" w:rsidRPr="00346E6C" w:rsidRDefault="00CC52A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Descrizione e composizione</w:t>
      </w:r>
    </w:p>
    <w:p w14:paraId="62577127" w14:textId="77777777" w:rsidR="001F11E7" w:rsidRPr="00346E6C" w:rsidRDefault="005D1529" w:rsidP="001F11E7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0B7AC8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</w:t>
      </w:r>
      <w:r w:rsidR="001F11E7" w:rsidRPr="00346E6C">
        <w:rPr>
          <w:rFonts w:eastAsia="Calibri" w:cstheme="minorHAnsi"/>
          <w:color w:val="000000"/>
          <w:sz w:val="24"/>
          <w:szCs w:val="24"/>
          <w:lang w:eastAsia="it-IT"/>
        </w:rPr>
        <w:t>come spray nasale, soluzione contenente 1 mg/ml di principio attivo.</w:t>
      </w:r>
    </w:p>
    <w:p w14:paraId="77FF1E76" w14:textId="7C6C28D6" w:rsidR="00B30431" w:rsidRPr="00346E6C" w:rsidRDefault="004E5A39" w:rsidP="001F11E7">
      <w:pPr>
        <w:widowControl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346E6C">
        <w:rPr>
          <w:rFonts w:cstheme="minorHAnsi"/>
          <w:sz w:val="24"/>
          <w:szCs w:val="24"/>
        </w:rPr>
        <w:t>Gli eccipienti sono</w:t>
      </w:r>
      <w:r w:rsidR="001F11E7" w:rsidRPr="00346E6C">
        <w:rPr>
          <w:rFonts w:cstheme="minorHAnsi"/>
          <w:sz w:val="24"/>
          <w:szCs w:val="24"/>
        </w:rPr>
        <w:t>: sodio fosfato diidrogeno diidrato, disodio fosfato dodecaidrato, sodio edetato, benzalconio cloruro soluzione 50%, sorbitolo liquido (non cristallizzabile), ipromellosa, sodio cloruro e acqua purificata</w:t>
      </w:r>
      <w:r w:rsidR="006C5D6C" w:rsidRPr="00346E6C">
        <w:rPr>
          <w:rFonts w:cstheme="minorHAnsi"/>
          <w:sz w:val="24"/>
          <w:szCs w:val="24"/>
        </w:rPr>
        <w:t>.</w:t>
      </w:r>
    </w:p>
    <w:p w14:paraId="114092E6" w14:textId="4E637E5A" w:rsidR="004E5A39" w:rsidRPr="00346E6C" w:rsidRDefault="004E5A39" w:rsidP="00EF6711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Tutti gli eccipienti sono conformi alla relativa monografia di Farmacopea Europea.</w:t>
      </w:r>
    </w:p>
    <w:p w14:paraId="2411A2EC" w14:textId="77777777" w:rsidR="000808A3" w:rsidRPr="00346E6C" w:rsidRDefault="000808A3" w:rsidP="00EF6711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</w:p>
    <w:p w14:paraId="5E141CE6" w14:textId="16E8E68F" w:rsidR="000808A3" w:rsidRPr="00346E6C" w:rsidRDefault="001F11E7" w:rsidP="00EF6711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Non sono presenti eccipienti di originale animale.</w:t>
      </w:r>
    </w:p>
    <w:p w14:paraId="44A598BE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1FE18E29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06E8E105" w:rsidR="004E5A39" w:rsidRPr="00346E6C" w:rsidRDefault="001F11E7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Sono stati forniti dati comparativi relativi alle caratteristiche fisico-chimiche e al profilo di impurezze rispetto al medicinale di riferimento. I dati sono soddisfacenti.</w:t>
      </w:r>
    </w:p>
    <w:p w14:paraId="2F0D3636" w14:textId="77777777" w:rsidR="001F11E7" w:rsidRPr="00346E6C" w:rsidRDefault="001F11E7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lastRenderedPageBreak/>
        <w:t xml:space="preserve">Produzione </w:t>
      </w:r>
    </w:p>
    <w:p w14:paraId="720F2E9F" w14:textId="300BE06A" w:rsidR="004E5A39" w:rsidRPr="00346E6C" w:rsidRDefault="004C068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E’ stata fornita</w:t>
      </w:r>
      <w:r w:rsidR="004E5A39" w:rsidRPr="00346E6C">
        <w:rPr>
          <w:rFonts w:cstheme="minorHAnsi"/>
          <w:sz w:val="24"/>
          <w:szCs w:val="24"/>
        </w:rPr>
        <w:t xml:space="preserve"> una descrizione del metodo di produzione e la relativa flow-chart.</w:t>
      </w:r>
    </w:p>
    <w:p w14:paraId="4B7C7D3A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Specifiche del prodotto finito</w:t>
      </w:r>
    </w:p>
    <w:p w14:paraId="23930CD9" w14:textId="08F35973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346E6C">
        <w:rPr>
          <w:rFonts w:cstheme="minorHAnsi"/>
          <w:sz w:val="24"/>
          <w:szCs w:val="24"/>
        </w:rPr>
        <w:t>il</w:t>
      </w:r>
      <w:r w:rsidRPr="00346E6C">
        <w:rPr>
          <w:rFonts w:cstheme="minorHAnsi"/>
          <w:sz w:val="24"/>
          <w:szCs w:val="24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5B60B4D3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Contenitore</w:t>
      </w:r>
    </w:p>
    <w:p w14:paraId="03FA8D91" w14:textId="56AC6DED" w:rsidR="001F11E7" w:rsidRPr="00346E6C" w:rsidRDefault="005D1529" w:rsidP="001F11E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0808A3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346E6C">
        <w:rPr>
          <w:rFonts w:cstheme="minorHAnsi"/>
          <w:sz w:val="24"/>
          <w:szCs w:val="24"/>
        </w:rPr>
        <w:t xml:space="preserve">è confezionato in </w:t>
      </w:r>
      <w:r w:rsidR="001F11E7" w:rsidRPr="00346E6C">
        <w:rPr>
          <w:rFonts w:cstheme="minorHAnsi"/>
          <w:sz w:val="24"/>
          <w:szCs w:val="24"/>
        </w:rPr>
        <w:t>un flacone in vetro ambrato da 10 m</w:t>
      </w:r>
      <w:r w:rsidR="004C0689" w:rsidRPr="00346E6C">
        <w:rPr>
          <w:rFonts w:cstheme="minorHAnsi"/>
          <w:sz w:val="24"/>
          <w:szCs w:val="24"/>
        </w:rPr>
        <w:t>l</w:t>
      </w:r>
      <w:r w:rsidR="001F11E7" w:rsidRPr="00346E6C">
        <w:rPr>
          <w:rFonts w:cstheme="minorHAnsi"/>
          <w:sz w:val="24"/>
          <w:szCs w:val="24"/>
        </w:rPr>
        <w:t xml:space="preserve">, con micro-pompa dosatrice (materiale a contatto con il medicinale: polietilene) ed applicatore in polipropilene con cappuccio di chiusura protettivo. </w:t>
      </w:r>
    </w:p>
    <w:p w14:paraId="1B6AD125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6BE64A56" w14:textId="77777777" w:rsidR="00BA0ACD" w:rsidRPr="00346E6C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Stabilità</w:t>
      </w:r>
    </w:p>
    <w:p w14:paraId="69E7F4CC" w14:textId="483B77F7" w:rsidR="001F11E7" w:rsidRPr="00346E6C" w:rsidRDefault="004C068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Gli s</w:t>
      </w:r>
      <w:r w:rsidR="004E5A39" w:rsidRPr="00346E6C">
        <w:rPr>
          <w:rFonts w:cstheme="minorHAnsi"/>
          <w:sz w:val="24"/>
          <w:szCs w:val="24"/>
        </w:rPr>
        <w:t xml:space="preserve">tudi di stabilità sul prodotto finito sono stati condotti in accordo alle correnti linee guida e i risultati sono entro i limiti delle specifiche autorizzate. Sulla </w:t>
      </w:r>
      <w:r w:rsidR="004E5A39" w:rsidRPr="005273DE">
        <w:rPr>
          <w:rFonts w:cstheme="minorHAnsi"/>
          <w:sz w:val="24"/>
          <w:szCs w:val="24"/>
        </w:rPr>
        <w:t xml:space="preserve">base di questi risultati, è stato autorizzato un periodo di validità di </w:t>
      </w:r>
      <w:r w:rsidR="001F11E7" w:rsidRPr="005273DE">
        <w:rPr>
          <w:rFonts w:cstheme="minorHAnsi"/>
          <w:sz w:val="24"/>
          <w:szCs w:val="24"/>
        </w:rPr>
        <w:t xml:space="preserve">24 mesi, </w:t>
      </w:r>
      <w:r w:rsidR="000808A3" w:rsidRPr="005273DE">
        <w:rPr>
          <w:rFonts w:cstheme="minorHAnsi"/>
          <w:sz w:val="24"/>
          <w:szCs w:val="24"/>
        </w:rPr>
        <w:t xml:space="preserve">con conservazione a temperatura </w:t>
      </w:r>
      <w:r w:rsidR="009A28E4" w:rsidRPr="00E84B17">
        <w:rPr>
          <w:rFonts w:cstheme="minorHAnsi"/>
          <w:sz w:val="24"/>
          <w:szCs w:val="24"/>
        </w:rPr>
        <w:t>inferiore</w:t>
      </w:r>
      <w:r w:rsidR="000808A3" w:rsidRPr="005273DE">
        <w:rPr>
          <w:rFonts w:cstheme="minorHAnsi"/>
          <w:sz w:val="24"/>
          <w:szCs w:val="24"/>
        </w:rPr>
        <w:t xml:space="preserve"> a </w:t>
      </w:r>
      <w:r w:rsidR="001F11E7" w:rsidRPr="005273DE">
        <w:rPr>
          <w:rFonts w:cstheme="minorHAnsi"/>
          <w:sz w:val="24"/>
          <w:szCs w:val="24"/>
        </w:rPr>
        <w:t>25°C.</w:t>
      </w:r>
    </w:p>
    <w:p w14:paraId="3AFA76FF" w14:textId="3DD1BDA1" w:rsidR="004E5A39" w:rsidRPr="00346E6C" w:rsidRDefault="001F11E7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Il periodo di validità in uso (dopo </w:t>
      </w:r>
      <w:r w:rsidR="004C0689" w:rsidRPr="00346E6C">
        <w:rPr>
          <w:rFonts w:cstheme="minorHAnsi"/>
          <w:sz w:val="24"/>
          <w:szCs w:val="24"/>
        </w:rPr>
        <w:t xml:space="preserve">il </w:t>
      </w:r>
      <w:r w:rsidRPr="00346E6C">
        <w:rPr>
          <w:rFonts w:cstheme="minorHAnsi"/>
          <w:sz w:val="24"/>
          <w:szCs w:val="24"/>
        </w:rPr>
        <w:t>primo utilizzo) è pari a 6 mesi.</w:t>
      </w:r>
      <w:r w:rsidR="00BA0ACD" w:rsidRPr="00346E6C">
        <w:rPr>
          <w:rFonts w:cstheme="minorHAnsi"/>
          <w:sz w:val="24"/>
          <w:szCs w:val="24"/>
        </w:rPr>
        <w:t xml:space="preserve"> </w:t>
      </w:r>
    </w:p>
    <w:p w14:paraId="35B3E197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II.3</w:t>
      </w:r>
      <w:r w:rsidR="00AC3E39" w:rsidRPr="00346E6C">
        <w:rPr>
          <w:rFonts w:cstheme="minorHAnsi"/>
          <w:b/>
          <w:sz w:val="24"/>
          <w:szCs w:val="24"/>
        </w:rPr>
        <w:t xml:space="preserve"> </w:t>
      </w:r>
      <w:r w:rsidRPr="00346E6C">
        <w:rPr>
          <w:rFonts w:cstheme="minorHAnsi"/>
          <w:b/>
          <w:sz w:val="24"/>
          <w:szCs w:val="24"/>
        </w:rPr>
        <w:t>Discussione sugli aspetti di qualità</w:t>
      </w:r>
    </w:p>
    <w:p w14:paraId="384939BF" w14:textId="77777777" w:rsidR="00760C57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0808A3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cstheme="minorHAnsi"/>
          <w:sz w:val="24"/>
          <w:szCs w:val="24"/>
        </w:rPr>
        <w:t xml:space="preserve">è considerata adeguata. </w:t>
      </w:r>
      <w:r w:rsidR="00E42578" w:rsidRPr="00346E6C">
        <w:rPr>
          <w:rFonts w:cstheme="minorHAnsi"/>
          <w:sz w:val="24"/>
          <w:szCs w:val="24"/>
        </w:rPr>
        <w:t>Pertanto</w:t>
      </w:r>
      <w:r w:rsidR="009F395B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cstheme="minorHAnsi"/>
          <w:sz w:val="24"/>
          <w:szCs w:val="24"/>
        </w:rPr>
        <w:t>dal punto di vista chimico-farmaceutico</w:t>
      </w:r>
      <w:r w:rsidR="00610BAB" w:rsidRPr="00346E6C">
        <w:rPr>
          <w:rFonts w:cstheme="minorHAnsi"/>
          <w:sz w:val="24"/>
          <w:szCs w:val="24"/>
        </w:rPr>
        <w:t xml:space="preserve">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323648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346E6C">
        <w:rPr>
          <w:rFonts w:cstheme="minorHAnsi"/>
          <w:sz w:val="24"/>
          <w:szCs w:val="24"/>
        </w:rPr>
        <w:t>è stato considerato accettabile per l’autorizzazione all’immissione in commercio</w:t>
      </w:r>
      <w:r w:rsidRPr="00346E6C">
        <w:rPr>
          <w:rFonts w:cstheme="minorHAnsi"/>
          <w:sz w:val="24"/>
          <w:szCs w:val="24"/>
        </w:rPr>
        <w:t>.</w:t>
      </w:r>
      <w:r w:rsidR="00323648" w:rsidRPr="00346E6C">
        <w:rPr>
          <w:rFonts w:cstheme="minorHAnsi"/>
          <w:sz w:val="24"/>
          <w:szCs w:val="24"/>
        </w:rPr>
        <w:t xml:space="preserve"> </w:t>
      </w:r>
    </w:p>
    <w:p w14:paraId="0EE1B779" w14:textId="54CABFC2" w:rsidR="004E5A39" w:rsidRPr="00346E6C" w:rsidRDefault="00760C57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E’ stato inoltre previsto un </w:t>
      </w:r>
      <w:r w:rsidR="00252FE8" w:rsidRPr="00346E6C">
        <w:rPr>
          <w:rFonts w:cstheme="minorHAnsi"/>
          <w:i/>
          <w:sz w:val="24"/>
          <w:szCs w:val="24"/>
        </w:rPr>
        <w:t>post approval commitment</w:t>
      </w:r>
      <w:r w:rsidRPr="00346E6C">
        <w:rPr>
          <w:rFonts w:cstheme="minorHAnsi"/>
          <w:sz w:val="24"/>
          <w:szCs w:val="24"/>
        </w:rPr>
        <w:t xml:space="preserve"> nel quale la ditta </w:t>
      </w:r>
      <w:r w:rsidR="004C0689" w:rsidRPr="00346E6C">
        <w:rPr>
          <w:rFonts w:cstheme="minorHAnsi"/>
          <w:sz w:val="24"/>
          <w:szCs w:val="24"/>
        </w:rPr>
        <w:t>s</w:t>
      </w:r>
      <w:r w:rsidRPr="00346E6C">
        <w:rPr>
          <w:rFonts w:cstheme="minorHAnsi"/>
          <w:sz w:val="24"/>
          <w:szCs w:val="24"/>
        </w:rPr>
        <w:t xml:space="preserve">i impegna a condurre un nuovo studio di stabilità in uso su un lotto in scala </w:t>
      </w:r>
      <w:r w:rsidR="004C0689" w:rsidRPr="00346E6C">
        <w:rPr>
          <w:rFonts w:cstheme="minorHAnsi"/>
          <w:sz w:val="24"/>
          <w:szCs w:val="24"/>
        </w:rPr>
        <w:t>commerciale</w:t>
      </w:r>
      <w:r w:rsidRPr="00346E6C">
        <w:rPr>
          <w:rFonts w:cstheme="minorHAnsi"/>
          <w:sz w:val="24"/>
          <w:szCs w:val="24"/>
        </w:rPr>
        <w:t xml:space="preserve"> in conformità alla </w:t>
      </w:r>
      <w:r w:rsidR="0058250D" w:rsidRPr="00346E6C">
        <w:rPr>
          <w:rFonts w:cstheme="minorHAnsi"/>
          <w:sz w:val="24"/>
          <w:szCs w:val="24"/>
        </w:rPr>
        <w:t>L</w:t>
      </w:r>
      <w:r w:rsidRPr="00346E6C">
        <w:rPr>
          <w:rFonts w:cstheme="minorHAnsi"/>
          <w:sz w:val="24"/>
          <w:szCs w:val="24"/>
        </w:rPr>
        <w:t xml:space="preserve">inea </w:t>
      </w:r>
      <w:r w:rsidR="0058250D" w:rsidRPr="00346E6C">
        <w:rPr>
          <w:rFonts w:cstheme="minorHAnsi"/>
          <w:sz w:val="24"/>
          <w:szCs w:val="24"/>
        </w:rPr>
        <w:t>G</w:t>
      </w:r>
      <w:r w:rsidRPr="00346E6C">
        <w:rPr>
          <w:rFonts w:cstheme="minorHAnsi"/>
          <w:sz w:val="24"/>
          <w:szCs w:val="24"/>
        </w:rPr>
        <w:t>uida CPMP/QWP/2934/99, per confermare la stabilità in uso di 6 mesi.</w:t>
      </w:r>
    </w:p>
    <w:p w14:paraId="655C62D5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346E6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ASPETTI NON CLINICI</w:t>
      </w:r>
    </w:p>
    <w:p w14:paraId="69A2D479" w14:textId="72DBE889" w:rsidR="00F27C7F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Non sono stati </w:t>
      </w:r>
      <w:r w:rsidR="00F27C7F" w:rsidRPr="00346E6C">
        <w:rPr>
          <w:rFonts w:cstheme="minorHAnsi"/>
          <w:sz w:val="24"/>
          <w:szCs w:val="24"/>
        </w:rPr>
        <w:t>presentati nuovi</w:t>
      </w:r>
      <w:r w:rsidRPr="00346E6C">
        <w:rPr>
          <w:rFonts w:cstheme="minorHAnsi"/>
          <w:sz w:val="24"/>
          <w:szCs w:val="24"/>
        </w:rPr>
        <w:t xml:space="preserve"> studi non clinici, in quanto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9F395B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cstheme="minorHAnsi"/>
          <w:sz w:val="24"/>
          <w:szCs w:val="24"/>
        </w:rPr>
        <w:t xml:space="preserve">contiene </w:t>
      </w:r>
      <w:r w:rsidR="00C95E26" w:rsidRPr="00346E6C">
        <w:rPr>
          <w:rFonts w:cstheme="minorHAnsi"/>
          <w:sz w:val="24"/>
          <w:szCs w:val="24"/>
        </w:rPr>
        <w:t xml:space="preserve">un </w:t>
      </w:r>
      <w:r w:rsidRPr="00346E6C">
        <w:rPr>
          <w:rFonts w:cstheme="minorHAnsi"/>
          <w:sz w:val="24"/>
          <w:szCs w:val="24"/>
        </w:rPr>
        <w:t>principi</w:t>
      </w:r>
      <w:r w:rsidR="00C95E26" w:rsidRPr="00346E6C">
        <w:rPr>
          <w:rFonts w:cstheme="minorHAnsi"/>
          <w:sz w:val="24"/>
          <w:szCs w:val="24"/>
        </w:rPr>
        <w:t>o</w:t>
      </w:r>
      <w:r w:rsidRPr="00346E6C">
        <w:rPr>
          <w:rFonts w:cstheme="minorHAnsi"/>
          <w:sz w:val="24"/>
          <w:szCs w:val="24"/>
        </w:rPr>
        <w:t xml:space="preserve"> attiv</w:t>
      </w:r>
      <w:r w:rsidR="00C95E26" w:rsidRPr="00346E6C">
        <w:rPr>
          <w:rFonts w:cstheme="minorHAnsi"/>
          <w:sz w:val="24"/>
          <w:szCs w:val="24"/>
        </w:rPr>
        <w:t>o</w:t>
      </w:r>
      <w:r w:rsidRPr="00346E6C">
        <w:rPr>
          <w:rFonts w:cstheme="minorHAnsi"/>
          <w:sz w:val="24"/>
          <w:szCs w:val="24"/>
        </w:rPr>
        <w:t xml:space="preserve"> </w:t>
      </w:r>
      <w:r w:rsidRPr="00491B17">
        <w:rPr>
          <w:rFonts w:cstheme="minorHAnsi"/>
          <w:sz w:val="24"/>
          <w:szCs w:val="24"/>
        </w:rPr>
        <w:t>not</w:t>
      </w:r>
      <w:r w:rsidR="00C95E26" w:rsidRPr="00491B17">
        <w:rPr>
          <w:rFonts w:cstheme="minorHAnsi"/>
          <w:sz w:val="24"/>
          <w:szCs w:val="24"/>
        </w:rPr>
        <w:t xml:space="preserve">o </w:t>
      </w:r>
      <w:r w:rsidR="00BA0ACD" w:rsidRPr="00491B17">
        <w:rPr>
          <w:rFonts w:cstheme="minorHAnsi"/>
          <w:sz w:val="24"/>
          <w:szCs w:val="24"/>
        </w:rPr>
        <w:t>presente nel medicinale di riferimento</w:t>
      </w:r>
      <w:r w:rsidRPr="00491B17">
        <w:rPr>
          <w:rFonts w:cstheme="minorHAnsi"/>
          <w:sz w:val="24"/>
          <w:szCs w:val="24"/>
        </w:rPr>
        <w:t>: questo approccio è accettabile poiché il medicinale di riferimento</w:t>
      </w:r>
      <w:r w:rsidR="00C95E26" w:rsidRPr="00491B17">
        <w:rPr>
          <w:rFonts w:cstheme="minorHAnsi"/>
          <w:sz w:val="24"/>
          <w:szCs w:val="24"/>
        </w:rPr>
        <w:t xml:space="preserve"> </w:t>
      </w:r>
      <w:r w:rsidR="0040622B" w:rsidRPr="00E84B17">
        <w:rPr>
          <w:rFonts w:eastAsia="Calibri" w:cstheme="minorHAnsi"/>
          <w:color w:val="000000"/>
          <w:sz w:val="24"/>
          <w:szCs w:val="24"/>
          <w:lang w:eastAsia="it-IT"/>
        </w:rPr>
        <w:t>RinaAdvance</w:t>
      </w:r>
      <w:r w:rsidR="004C0689" w:rsidRPr="00491B17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491B17">
        <w:rPr>
          <w:rFonts w:cstheme="minorHAnsi"/>
          <w:sz w:val="24"/>
          <w:szCs w:val="24"/>
        </w:rPr>
        <w:t>è autorizzato</w:t>
      </w:r>
      <w:r w:rsidRPr="00346E6C">
        <w:rPr>
          <w:rFonts w:cstheme="minorHAnsi"/>
          <w:sz w:val="24"/>
          <w:szCs w:val="24"/>
        </w:rPr>
        <w:t xml:space="preserve"> in Italia da oltre </w:t>
      </w:r>
      <w:r w:rsidR="00F13377">
        <w:rPr>
          <w:rFonts w:cstheme="minorHAnsi"/>
          <w:sz w:val="24"/>
          <w:szCs w:val="24"/>
        </w:rPr>
        <w:t>8</w:t>
      </w:r>
      <w:r w:rsidR="00F13377" w:rsidRPr="00346E6C">
        <w:rPr>
          <w:rFonts w:cstheme="minorHAnsi"/>
          <w:sz w:val="24"/>
          <w:szCs w:val="24"/>
        </w:rPr>
        <w:t xml:space="preserve"> </w:t>
      </w:r>
      <w:r w:rsidRPr="00346E6C">
        <w:rPr>
          <w:rFonts w:cstheme="minorHAnsi"/>
          <w:sz w:val="24"/>
          <w:szCs w:val="24"/>
        </w:rPr>
        <w:t>anni</w:t>
      </w:r>
      <w:r w:rsidR="000808A3" w:rsidRPr="00346E6C">
        <w:rPr>
          <w:rFonts w:cstheme="minorHAnsi"/>
          <w:sz w:val="24"/>
          <w:szCs w:val="24"/>
        </w:rPr>
        <w:t>.</w:t>
      </w:r>
      <w:r w:rsidR="009F395B" w:rsidRPr="00346E6C">
        <w:rPr>
          <w:rFonts w:cstheme="minorHAnsi"/>
          <w:sz w:val="24"/>
          <w:szCs w:val="24"/>
        </w:rPr>
        <w:t xml:space="preserve"> </w:t>
      </w:r>
    </w:p>
    <w:p w14:paraId="26E0403B" w14:textId="0BD71B7D" w:rsidR="004E5A39" w:rsidRPr="00346E6C" w:rsidRDefault="004E5A39" w:rsidP="00C95E26">
      <w:pPr>
        <w:spacing w:after="0"/>
        <w:jc w:val="both"/>
        <w:rPr>
          <w:rFonts w:cstheme="minorHAnsi"/>
          <w:sz w:val="24"/>
          <w:szCs w:val="24"/>
        </w:rPr>
      </w:pPr>
    </w:p>
    <w:p w14:paraId="082039A6" w14:textId="57EADA51" w:rsidR="003B06FC" w:rsidRPr="00346E6C" w:rsidRDefault="00497CA4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È stata presentata una valutazione del rischio ambientale riguardante</w:t>
      </w:r>
      <w:r w:rsidR="00A56F0E" w:rsidRPr="00346E6C">
        <w:rPr>
          <w:rFonts w:cstheme="minorHAnsi"/>
          <w:sz w:val="24"/>
          <w:szCs w:val="24"/>
        </w:rPr>
        <w:t xml:space="preserve"> il prodotto contenente</w:t>
      </w:r>
      <w:r w:rsidRPr="00346E6C">
        <w:rPr>
          <w:rFonts w:cstheme="minorHAnsi"/>
          <w:sz w:val="24"/>
          <w:szCs w:val="24"/>
        </w:rPr>
        <w:t xml:space="preserve"> il principio attivo xilometazolina</w:t>
      </w:r>
      <w:r w:rsidR="00A56F0E" w:rsidRPr="00346E6C">
        <w:rPr>
          <w:rFonts w:cstheme="minorHAnsi"/>
          <w:sz w:val="24"/>
          <w:szCs w:val="24"/>
        </w:rPr>
        <w:t xml:space="preserve"> a 1mg/ml</w:t>
      </w:r>
      <w:r w:rsidRPr="00346E6C">
        <w:rPr>
          <w:rFonts w:cstheme="minorHAnsi"/>
          <w:sz w:val="24"/>
          <w:szCs w:val="24"/>
        </w:rPr>
        <w:t xml:space="preserve"> in accordo alla Linea</w:t>
      </w:r>
      <w:r w:rsidR="00DD3E1D" w:rsidRPr="00346E6C">
        <w:rPr>
          <w:rFonts w:cstheme="minorHAnsi"/>
          <w:sz w:val="24"/>
          <w:szCs w:val="24"/>
        </w:rPr>
        <w:t xml:space="preserve"> G</w:t>
      </w:r>
      <w:r w:rsidRPr="00346E6C">
        <w:rPr>
          <w:rFonts w:cstheme="minorHAnsi"/>
          <w:sz w:val="24"/>
          <w:szCs w:val="24"/>
        </w:rPr>
        <w:t xml:space="preserve">uida EMEA/CHMP/SWP/4447/00 corr. 2, 2006. </w:t>
      </w:r>
      <w:r w:rsidR="00DD3E1D" w:rsidRPr="00346E6C">
        <w:rPr>
          <w:rFonts w:cstheme="minorHAnsi"/>
          <w:sz w:val="24"/>
          <w:szCs w:val="24"/>
        </w:rPr>
        <w:t xml:space="preserve">Sono stati forniti anche risultati di test OECD non eseguiti ma tratti dalla letteratura, </w:t>
      </w:r>
      <w:r w:rsidR="00DD3E1D" w:rsidRPr="00346E6C">
        <w:rPr>
          <w:rFonts w:cstheme="minorHAnsi"/>
          <w:sz w:val="24"/>
          <w:szCs w:val="24"/>
        </w:rPr>
        <w:lastRenderedPageBreak/>
        <w:t>riguardanti la tossicità in acuto e in cronico sulle specie previste dai singoli test e sulla biodegradabilità. La xilometazolina non è rapidamente biodegradabile, s</w:t>
      </w:r>
      <w:r w:rsidRPr="00346E6C">
        <w:rPr>
          <w:rFonts w:cstheme="minorHAnsi"/>
          <w:sz w:val="24"/>
          <w:szCs w:val="24"/>
        </w:rPr>
        <w:t xml:space="preserve">ono stati forniti </w:t>
      </w:r>
      <w:r w:rsidR="00A56F0E" w:rsidRPr="00346E6C">
        <w:rPr>
          <w:rFonts w:cstheme="minorHAnsi"/>
          <w:sz w:val="24"/>
          <w:szCs w:val="24"/>
        </w:rPr>
        <w:t xml:space="preserve">i dati relativi a </w:t>
      </w:r>
      <w:r w:rsidR="003B06FC" w:rsidRPr="00346E6C">
        <w:rPr>
          <w:rFonts w:cstheme="minorHAnsi"/>
          <w:sz w:val="24"/>
          <w:szCs w:val="24"/>
        </w:rPr>
        <w:t>Phase</w:t>
      </w:r>
      <w:r w:rsidR="00A56F0E" w:rsidRPr="00346E6C">
        <w:rPr>
          <w:rFonts w:cstheme="minorHAnsi"/>
          <w:sz w:val="24"/>
          <w:szCs w:val="24"/>
        </w:rPr>
        <w:t xml:space="preserve"> I </w:t>
      </w:r>
      <w:r w:rsidR="003B06FC" w:rsidRPr="00346E6C">
        <w:rPr>
          <w:rFonts w:cstheme="minorHAnsi"/>
          <w:sz w:val="24"/>
          <w:szCs w:val="24"/>
        </w:rPr>
        <w:t>riguardanti la stima del bioaccumulo nell’ambiente del principio attivo, ovvero Predicted Environmental Concentration (PEC) nelle acqu</w:t>
      </w:r>
      <w:r w:rsidR="00DD3E1D" w:rsidRPr="00346E6C">
        <w:rPr>
          <w:rFonts w:cstheme="minorHAnsi"/>
          <w:sz w:val="24"/>
          <w:szCs w:val="24"/>
        </w:rPr>
        <w:t>e</w:t>
      </w:r>
      <w:r w:rsidR="003B06FC" w:rsidRPr="00346E6C">
        <w:rPr>
          <w:rFonts w:cstheme="minorHAnsi"/>
          <w:sz w:val="24"/>
          <w:szCs w:val="24"/>
        </w:rPr>
        <w:t xml:space="preserve"> di superficie.</w:t>
      </w:r>
      <w:r w:rsidR="00DD3E1D" w:rsidRPr="00346E6C">
        <w:rPr>
          <w:rFonts w:cstheme="minorHAnsi"/>
          <w:sz w:val="24"/>
          <w:szCs w:val="24"/>
        </w:rPr>
        <w:t xml:space="preserve"> Il valore stimato ottenuto esclude la trattazione della Phase II prevista dalla Linea Guida. </w:t>
      </w:r>
    </w:p>
    <w:p w14:paraId="0B05275A" w14:textId="77777777" w:rsidR="009F584E" w:rsidRPr="00346E6C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346E6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ASPETTI CLINICI</w:t>
      </w:r>
    </w:p>
    <w:p w14:paraId="674AD919" w14:textId="63309DB9" w:rsidR="00853EC6" w:rsidRPr="00346E6C" w:rsidRDefault="005D1529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9F395B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346E6C">
        <w:rPr>
          <w:rFonts w:cstheme="minorHAnsi"/>
          <w:sz w:val="24"/>
          <w:szCs w:val="24"/>
        </w:rPr>
        <w:t>è utilizzato per</w:t>
      </w:r>
      <w:r w:rsidR="0042594C" w:rsidRPr="00346E6C">
        <w:t xml:space="preserve"> </w:t>
      </w:r>
      <w:r w:rsidR="0042594C" w:rsidRPr="00346E6C">
        <w:rPr>
          <w:rFonts w:cstheme="minorHAnsi"/>
          <w:sz w:val="24"/>
          <w:szCs w:val="24"/>
        </w:rPr>
        <w:t>il trattamento sintomatico temporaneo della congestione nasale (in caso di raffreddore, febbre da fieno o altre riniti allergiche, sinusite) in adulti e adolescenti di età compresa tra 12 e 18 anni.</w:t>
      </w:r>
    </w:p>
    <w:p w14:paraId="2E38D4F0" w14:textId="77777777" w:rsidR="004E5A39" w:rsidRPr="00346E6C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346E6C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Posologia e modalità di somministrazione</w:t>
      </w:r>
    </w:p>
    <w:p w14:paraId="218B71EA" w14:textId="77777777" w:rsidR="004E5A39" w:rsidRPr="00346E6C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346E6C">
        <w:rPr>
          <w:rFonts w:eastAsia="Calibri" w:cstheme="minorHAnsi"/>
          <w:sz w:val="24"/>
          <w:szCs w:val="24"/>
          <w:lang w:eastAsia="it-IT"/>
        </w:rPr>
        <w:t>(</w:t>
      </w:r>
      <w:r w:rsidR="00577746" w:rsidRPr="00346E6C">
        <w:rPr>
          <w:rFonts w:cstheme="minorHAnsi"/>
          <w:sz w:val="24"/>
          <w:szCs w:val="24"/>
        </w:rPr>
        <w:t>https://farmaci.agenziafarmaco.gov.it/bancadatifarmaci/home</w:t>
      </w:r>
      <w:r w:rsidRPr="00346E6C">
        <w:rPr>
          <w:rFonts w:eastAsia="Calibri" w:cstheme="minorHAnsi"/>
          <w:sz w:val="24"/>
          <w:szCs w:val="24"/>
          <w:lang w:eastAsia="it-IT"/>
        </w:rPr>
        <w:t>).</w:t>
      </w:r>
    </w:p>
    <w:p w14:paraId="2B0A0D41" w14:textId="77777777" w:rsidR="004E5A39" w:rsidRPr="00346E6C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33CE9A1C" w14:textId="77777777" w:rsidR="005049A1" w:rsidRPr="00346E6C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Efficacia e sicurezza clinica</w:t>
      </w:r>
    </w:p>
    <w:p w14:paraId="17FAF5EC" w14:textId="5A82D4C6" w:rsidR="005049A1" w:rsidRPr="00346E6C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346E6C">
        <w:rPr>
          <w:rFonts w:cstheme="minorHAnsi"/>
          <w:sz w:val="24"/>
          <w:szCs w:val="24"/>
        </w:rPr>
        <w:t>ezza e l’efficacia del principi</w:t>
      </w:r>
      <w:r w:rsidR="0042594C" w:rsidRPr="00346E6C">
        <w:rPr>
          <w:rFonts w:cstheme="minorHAnsi"/>
          <w:sz w:val="24"/>
          <w:szCs w:val="24"/>
        </w:rPr>
        <w:t>o</w:t>
      </w:r>
      <w:r w:rsidRPr="00346E6C">
        <w:rPr>
          <w:rFonts w:cstheme="minorHAnsi"/>
          <w:sz w:val="24"/>
          <w:szCs w:val="24"/>
        </w:rPr>
        <w:t xml:space="preserve"> attiv</w:t>
      </w:r>
      <w:r w:rsidR="0042594C" w:rsidRPr="00346E6C">
        <w:rPr>
          <w:rFonts w:cstheme="minorHAnsi"/>
          <w:sz w:val="24"/>
          <w:szCs w:val="24"/>
        </w:rPr>
        <w:t xml:space="preserve">o </w:t>
      </w:r>
      <w:r w:rsidRPr="00346E6C">
        <w:rPr>
          <w:rFonts w:cstheme="minorHAnsi"/>
          <w:sz w:val="24"/>
          <w:szCs w:val="24"/>
        </w:rPr>
        <w:t xml:space="preserve">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C56FA9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cstheme="minorHAnsi"/>
          <w:sz w:val="24"/>
          <w:szCs w:val="24"/>
        </w:rPr>
        <w:t xml:space="preserve">è ben conosciuto. </w:t>
      </w:r>
    </w:p>
    <w:p w14:paraId="11B918BB" w14:textId="77777777" w:rsidR="006727BD" w:rsidRPr="00346E6C" w:rsidRDefault="006727BD" w:rsidP="006727BD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3181A42D" w14:textId="7974D2BE" w:rsidR="009254CC" w:rsidRPr="00346E6C" w:rsidRDefault="005D1529" w:rsidP="009254C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9254CC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 ed è considerato essere terapeuticamente equivalente  al medicinale di riferimento </w:t>
      </w:r>
      <w:r w:rsidR="0040622B">
        <w:rPr>
          <w:rFonts w:eastAsia="Calibri" w:cstheme="minorHAnsi"/>
          <w:color w:val="000000"/>
          <w:sz w:val="24"/>
          <w:szCs w:val="24"/>
          <w:lang w:eastAsia="it-IT"/>
        </w:rPr>
        <w:t>RinaAdvance</w:t>
      </w:r>
      <w:r w:rsidR="009254CC" w:rsidRPr="00346E6C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 beneficio.</w:t>
      </w:r>
    </w:p>
    <w:p w14:paraId="00F355D9" w14:textId="77777777" w:rsidR="004B5B15" w:rsidRPr="00346E6C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12311AE2" w14:textId="77777777" w:rsidR="004E5A39" w:rsidRPr="00346E6C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Piano di Valutazione del Rischio (</w:t>
      </w:r>
      <w:r w:rsidRPr="00346E6C">
        <w:rPr>
          <w:rFonts w:cstheme="minorHAnsi"/>
          <w:b/>
          <w:i/>
          <w:sz w:val="24"/>
          <w:szCs w:val="24"/>
        </w:rPr>
        <w:t>Risk Management Plan</w:t>
      </w:r>
      <w:r w:rsidRPr="00346E6C">
        <w:rPr>
          <w:rFonts w:cstheme="minorHAnsi"/>
          <w:b/>
          <w:sz w:val="24"/>
          <w:szCs w:val="24"/>
        </w:rPr>
        <w:t xml:space="preserve"> - RMP)</w:t>
      </w:r>
    </w:p>
    <w:p w14:paraId="00E11AA9" w14:textId="7F1089B4" w:rsidR="004E5A39" w:rsidRPr="00346E6C" w:rsidRDefault="004E5A3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346E6C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346E6C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346E6C" w14:paraId="22971590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1F62F5AA" w14:textId="77777777" w:rsidR="00265B61" w:rsidRPr="00346E6C" w:rsidRDefault="00265B61" w:rsidP="00F03C03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346E6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identificati</w:t>
            </w:r>
          </w:p>
        </w:tc>
        <w:tc>
          <w:tcPr>
            <w:tcW w:w="3440" w:type="pct"/>
            <w:shd w:val="clear" w:color="auto" w:fill="auto"/>
          </w:tcPr>
          <w:p w14:paraId="54EA81AD" w14:textId="77777777" w:rsidR="00CF3393" w:rsidRPr="00346E6C" w:rsidRDefault="00CF3393" w:rsidP="00CF339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46E6C">
              <w:rPr>
                <w:rFonts w:cstheme="minorHAnsi"/>
                <w:sz w:val="24"/>
                <w:szCs w:val="24"/>
              </w:rPr>
              <w:t>Congestione nasale da rebound/Rinite medicamentosa</w:t>
            </w:r>
          </w:p>
          <w:p w14:paraId="32773773" w14:textId="550E9EB2" w:rsidR="00265B61" w:rsidRPr="00346E6C" w:rsidRDefault="00265B61" w:rsidP="00CF339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65B61" w:rsidRPr="00346E6C" w14:paraId="7C02AC11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3068A" w14:textId="77777777" w:rsidR="00265B61" w:rsidRPr="00346E6C" w:rsidRDefault="00265B61" w:rsidP="00F03C03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346E6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B8C2D93" w14:textId="77777777" w:rsidR="00CF3393" w:rsidRPr="00346E6C" w:rsidRDefault="00CF3393" w:rsidP="00CF3393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346E6C">
              <w:rPr>
                <w:rFonts w:cstheme="minorHAnsi"/>
                <w:sz w:val="24"/>
                <w:szCs w:val="24"/>
                <w:lang w:eastAsia="en-GB"/>
              </w:rPr>
              <w:t>Misuso</w:t>
            </w:r>
          </w:p>
          <w:p w14:paraId="4BBD5537" w14:textId="77777777" w:rsidR="00CF3393" w:rsidRPr="00346E6C" w:rsidRDefault="00CF3393" w:rsidP="00CF3393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346E6C">
              <w:rPr>
                <w:rFonts w:cstheme="minorHAnsi"/>
                <w:sz w:val="24"/>
                <w:szCs w:val="24"/>
                <w:lang w:eastAsia="en-GB"/>
              </w:rPr>
              <w:t>Sovradosaggio</w:t>
            </w:r>
          </w:p>
          <w:p w14:paraId="6FBE8BB6" w14:textId="397AFFB7" w:rsidR="00265B61" w:rsidRPr="00346E6C" w:rsidRDefault="00CF3393" w:rsidP="00CF3393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346E6C">
              <w:rPr>
                <w:rFonts w:cstheme="minorHAnsi"/>
                <w:sz w:val="24"/>
                <w:szCs w:val="24"/>
                <w:lang w:eastAsia="en-GB"/>
              </w:rPr>
              <w:t>Durata di somministrazione del farmaco troppo lunga</w:t>
            </w:r>
          </w:p>
        </w:tc>
      </w:tr>
      <w:tr w:rsidR="00265B61" w:rsidRPr="00346E6C" w14:paraId="6C134585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8FF832" w14:textId="77777777" w:rsidR="00265B61" w:rsidRPr="00346E6C" w:rsidRDefault="00265B61" w:rsidP="00F03C03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346E6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5EEB" w14:textId="08718990" w:rsidR="00265B61" w:rsidRPr="00346E6C" w:rsidRDefault="00CF3393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46E6C">
              <w:rPr>
                <w:rFonts w:cstheme="minorHAnsi"/>
                <w:sz w:val="24"/>
                <w:szCs w:val="24"/>
              </w:rPr>
              <w:t>Nessuno</w:t>
            </w:r>
          </w:p>
        </w:tc>
      </w:tr>
    </w:tbl>
    <w:p w14:paraId="6C7E033B" w14:textId="77777777" w:rsidR="00491B17" w:rsidRDefault="00491B17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680C576" w14:textId="4046858B" w:rsidR="004E5A39" w:rsidRPr="00346E6C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62C7CFD6" w:rsidR="00461D93" w:rsidRPr="00346E6C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Oltre le misure previste nel Riassunto delle </w:t>
      </w:r>
      <w:r w:rsidR="004C0689" w:rsidRPr="00346E6C">
        <w:rPr>
          <w:rFonts w:cstheme="minorHAnsi"/>
          <w:sz w:val="24"/>
          <w:szCs w:val="24"/>
        </w:rPr>
        <w:t>C</w:t>
      </w:r>
      <w:r w:rsidRPr="00346E6C">
        <w:rPr>
          <w:rFonts w:cstheme="minorHAnsi"/>
          <w:sz w:val="24"/>
          <w:szCs w:val="24"/>
        </w:rPr>
        <w:t xml:space="preserve">aratteristiche del </w:t>
      </w:r>
      <w:r w:rsidR="004C0689" w:rsidRPr="00346E6C">
        <w:rPr>
          <w:rFonts w:cstheme="minorHAnsi"/>
          <w:sz w:val="24"/>
          <w:szCs w:val="24"/>
        </w:rPr>
        <w:t>P</w:t>
      </w:r>
      <w:r w:rsidRPr="00346E6C">
        <w:rPr>
          <w:rFonts w:cstheme="minorHAnsi"/>
          <w:sz w:val="24"/>
          <w:szCs w:val="24"/>
        </w:rPr>
        <w:t>rodotto non sono previste attività addizionali di minimizzazione del rischio</w:t>
      </w:r>
      <w:r w:rsidR="009254CC" w:rsidRPr="00346E6C">
        <w:rPr>
          <w:rFonts w:cstheme="minorHAnsi"/>
          <w:sz w:val="24"/>
          <w:szCs w:val="24"/>
        </w:rPr>
        <w:t xml:space="preserve">. </w:t>
      </w:r>
    </w:p>
    <w:p w14:paraId="4BFDF567" w14:textId="0EF402E7" w:rsidR="004E5A39" w:rsidRPr="00346E6C" w:rsidRDefault="004E5A39" w:rsidP="00F03C0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8BC6142" w14:textId="160AB2A0" w:rsidR="009568D6" w:rsidRPr="00346E6C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lastRenderedPageBreak/>
        <w:t xml:space="preserve">Per maggiori dettagli circa le attività di farmacovigilanza previste per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346E6C">
        <w:rPr>
          <w:rFonts w:cstheme="minorHAnsi"/>
          <w:sz w:val="24"/>
          <w:szCs w:val="24"/>
        </w:rPr>
        <w:t xml:space="preserve"> </w:t>
      </w:r>
      <w:r w:rsidR="009568D6" w:rsidRPr="00346E6C">
        <w:rPr>
          <w:rFonts w:cstheme="minorHAnsi"/>
          <w:sz w:val="24"/>
          <w:szCs w:val="24"/>
        </w:rPr>
        <w:t xml:space="preserve">“Summary </w:t>
      </w:r>
      <w:r w:rsidRPr="00346E6C">
        <w:rPr>
          <w:rFonts w:cstheme="minorHAnsi"/>
          <w:sz w:val="24"/>
          <w:szCs w:val="24"/>
        </w:rPr>
        <w:t>RMP</w:t>
      </w:r>
      <w:r w:rsidR="009568D6" w:rsidRPr="00346E6C">
        <w:rPr>
          <w:rFonts w:cstheme="minorHAnsi"/>
          <w:sz w:val="24"/>
          <w:szCs w:val="24"/>
        </w:rPr>
        <w:t>” allegato.</w:t>
      </w:r>
    </w:p>
    <w:p w14:paraId="700FC2DC" w14:textId="77777777" w:rsidR="004E5A39" w:rsidRPr="00346E6C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7B36863" w14:textId="77777777" w:rsidR="004E5A39" w:rsidRPr="00346E6C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Conclusioni</w:t>
      </w:r>
    </w:p>
    <w:p w14:paraId="28B85830" w14:textId="28D02551" w:rsidR="004E5A39" w:rsidRPr="00346E6C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Per la richiesta di AIC 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BE7CDB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7601CBB7" w:rsidR="004E5A39" w:rsidRPr="00346E6C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Il rapporto beneficio/rischio 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BE7CDB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cstheme="minorHAnsi"/>
          <w:sz w:val="24"/>
          <w:szCs w:val="24"/>
        </w:rPr>
        <w:t>è considerato favorevole dal punto di vista clinico.</w:t>
      </w:r>
    </w:p>
    <w:p w14:paraId="365E4D0F" w14:textId="77777777" w:rsidR="004E5A39" w:rsidRPr="00346E6C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346E6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CONSULTAZIONE SUL FOGLIO ILLUSTRATIVO</w:t>
      </w:r>
    </w:p>
    <w:p w14:paraId="6B8FDC32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1EA1FE2B" w14:textId="77777777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346E6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46E6C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660C226E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La qualità 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BE7CDB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5E2AD99B" w14:textId="77777777" w:rsidR="00071E63" w:rsidRPr="00346E6C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0EF7EA63" w:rsidR="004E5A39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Il rapporto beneficio/rischio </w:t>
      </w:r>
      <w:r w:rsidR="00071E63" w:rsidRPr="00346E6C">
        <w:rPr>
          <w:rFonts w:cstheme="minorHAnsi"/>
          <w:sz w:val="24"/>
          <w:szCs w:val="24"/>
        </w:rPr>
        <w:t xml:space="preserve">di </w:t>
      </w:r>
      <w:r w:rsidR="005D1529" w:rsidRPr="00346E6C">
        <w:rPr>
          <w:rFonts w:eastAsia="Calibri" w:cstheme="minorHAnsi"/>
          <w:color w:val="000000"/>
          <w:sz w:val="24"/>
          <w:szCs w:val="24"/>
          <w:lang w:eastAsia="it-IT"/>
        </w:rPr>
        <w:t>TELEVITICA</w:t>
      </w:r>
      <w:r w:rsidR="00071E63" w:rsidRPr="00346E6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46E6C">
        <w:rPr>
          <w:rFonts w:cstheme="minorHAnsi"/>
          <w:sz w:val="24"/>
          <w:szCs w:val="24"/>
        </w:rPr>
        <w:t xml:space="preserve">è considerato </w:t>
      </w:r>
      <w:r w:rsidR="00071E63" w:rsidRPr="00346E6C">
        <w:rPr>
          <w:rFonts w:cstheme="minorHAnsi"/>
          <w:sz w:val="24"/>
          <w:szCs w:val="24"/>
        </w:rPr>
        <w:t>favorevole per l’autorizzazione all’immis</w:t>
      </w:r>
      <w:r w:rsidR="00997F05" w:rsidRPr="00346E6C">
        <w:rPr>
          <w:rFonts w:cstheme="minorHAnsi"/>
          <w:sz w:val="24"/>
          <w:szCs w:val="24"/>
        </w:rPr>
        <w:t>s</w:t>
      </w:r>
      <w:r w:rsidR="00071E63" w:rsidRPr="00346E6C">
        <w:rPr>
          <w:rFonts w:cstheme="minorHAnsi"/>
          <w:sz w:val="24"/>
          <w:szCs w:val="24"/>
        </w:rPr>
        <w:t>ione in commercio</w:t>
      </w:r>
      <w:r w:rsidRPr="00346E6C">
        <w:rPr>
          <w:rFonts w:cstheme="minorHAnsi"/>
          <w:sz w:val="24"/>
          <w:szCs w:val="24"/>
        </w:rPr>
        <w:t>.</w:t>
      </w:r>
    </w:p>
    <w:p w14:paraId="5ABBC3E3" w14:textId="77777777" w:rsidR="00071E63" w:rsidRPr="00346E6C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46E6C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346E6C">
        <w:rPr>
          <w:rFonts w:cstheme="minorHAnsi"/>
          <w:sz w:val="24"/>
          <w:szCs w:val="24"/>
        </w:rPr>
        <w:t xml:space="preserve">vigenti </w:t>
      </w:r>
      <w:r w:rsidRPr="00346E6C">
        <w:rPr>
          <w:rFonts w:cstheme="minorHAnsi"/>
          <w:sz w:val="24"/>
          <w:szCs w:val="24"/>
        </w:rPr>
        <w:t>linee guida</w:t>
      </w:r>
      <w:r w:rsidR="00071E63" w:rsidRPr="00346E6C">
        <w:rPr>
          <w:rFonts w:cstheme="minorHAnsi"/>
          <w:sz w:val="24"/>
          <w:szCs w:val="24"/>
        </w:rPr>
        <w:t xml:space="preserve"> e raccomandazioni italiane ed europee</w:t>
      </w:r>
      <w:r w:rsidRPr="00346E6C">
        <w:rPr>
          <w:rFonts w:cstheme="minorHAnsi"/>
          <w:sz w:val="24"/>
          <w:szCs w:val="24"/>
        </w:rPr>
        <w:t xml:space="preserve">. </w:t>
      </w:r>
    </w:p>
    <w:p w14:paraId="7056AFE8" w14:textId="0EC741DB" w:rsidR="00CE62A1" w:rsidRPr="00346E6C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346E6C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346E6C">
        <w:rPr>
          <w:rFonts w:eastAsia="Calibri" w:cstheme="minorHAnsi"/>
          <w:sz w:val="24"/>
          <w:szCs w:val="24"/>
          <w:lang w:eastAsia="it-IT"/>
        </w:rPr>
        <w:t>(</w:t>
      </w:r>
      <w:hyperlink r:id="rId11" w:history="1">
        <w:r w:rsidR="003E1E83" w:rsidRPr="00E84B17">
          <w:rPr>
            <w:rStyle w:val="Collegamentoipertestuale"/>
            <w:rFonts w:cstheme="minorHAnsi"/>
            <w:sz w:val="24"/>
            <w:szCs w:val="24"/>
          </w:rPr>
          <w:t>https://farmaci.agenziafarmaco.gov.it/bancadatifarmaci/home</w:t>
        </w:r>
      </w:hyperlink>
      <w:r w:rsidRPr="00346E6C">
        <w:rPr>
          <w:rFonts w:eastAsia="Calibri" w:cstheme="minorHAnsi"/>
          <w:sz w:val="24"/>
          <w:szCs w:val="24"/>
          <w:lang w:eastAsia="it-IT"/>
        </w:rPr>
        <w:t>).</w:t>
      </w:r>
    </w:p>
    <w:sectPr w:rsidR="00CE62A1" w:rsidRPr="00346E6C" w:rsidSect="00EF6711">
      <w:footerReference w:type="default" r:id="rId12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FE91CC" w16cex:dateUtc="2024-12-18T09:52:00Z"/>
  <w16cex:commentExtensible w16cex:durableId="19C3F032" w16cex:dateUtc="2024-12-18T10:34:00Z"/>
  <w16cex:commentExtensible w16cex:durableId="4370EFCA" w16cex:dateUtc="2024-12-19T13:29:00Z"/>
  <w16cex:commentExtensible w16cex:durableId="6ED99458" w16cex:dateUtc="2024-12-19T13:32:00Z"/>
  <w16cex:commentExtensible w16cex:durableId="7B53F13F" w16cex:dateUtc="2024-12-18T10:18:00Z"/>
  <w16cex:commentExtensible w16cex:durableId="66209A27" w16cex:dateUtc="2024-12-19T13:35:00Z"/>
  <w16cex:commentExtensible w16cex:durableId="078B3A8F" w16cex:dateUtc="2024-12-18T10:35:00Z"/>
  <w16cex:commentExtensible w16cex:durableId="46881770" w16cex:dateUtc="2024-12-18T10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31945" w14:textId="77777777" w:rsidR="006A32F8" w:rsidRDefault="006A32F8" w:rsidP="00C07183">
      <w:pPr>
        <w:spacing w:after="0" w:line="240" w:lineRule="auto"/>
      </w:pPr>
      <w:r>
        <w:separator/>
      </w:r>
    </w:p>
  </w:endnote>
  <w:endnote w:type="continuationSeparator" w:id="0">
    <w:p w14:paraId="54086BEC" w14:textId="77777777" w:rsidR="006A32F8" w:rsidRDefault="006A32F8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20081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BBBC07" w14:textId="4677231A" w:rsidR="000E3FD6" w:rsidRDefault="000E3FD6" w:rsidP="000E3FD6">
            <w:pPr>
              <w:pStyle w:val="Pidipagina"/>
              <w:jc w:val="right"/>
            </w:pPr>
            <w:r w:rsidRPr="00C0718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01290548" wp14:editId="1DBC3921">
                  <wp:simplePos x="0" y="0"/>
                  <wp:positionH relativeFrom="column">
                    <wp:posOffset>-640715</wp:posOffset>
                  </wp:positionH>
                  <wp:positionV relativeFrom="paragraph">
                    <wp:posOffset>129540</wp:posOffset>
                  </wp:positionV>
                  <wp:extent cx="7570800" cy="799200"/>
                  <wp:effectExtent l="0" t="0" r="0" b="1270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0800" cy="79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0795">
              <w:rPr>
                <w:sz w:val="16"/>
                <w:szCs w:val="16"/>
              </w:rPr>
              <w:t xml:space="preserve">Pagina </w:t>
            </w:r>
            <w:r w:rsidRPr="008C0795">
              <w:rPr>
                <w:bCs/>
                <w:sz w:val="16"/>
                <w:szCs w:val="16"/>
              </w:rPr>
              <w:fldChar w:fldCharType="begin"/>
            </w:r>
            <w:r w:rsidRPr="008C0795">
              <w:rPr>
                <w:bCs/>
                <w:sz w:val="16"/>
                <w:szCs w:val="16"/>
              </w:rPr>
              <w:instrText>PAGE</w:instrText>
            </w:r>
            <w:r w:rsidRPr="008C0795">
              <w:rPr>
                <w:bCs/>
                <w:sz w:val="16"/>
                <w:szCs w:val="16"/>
              </w:rPr>
              <w:fldChar w:fldCharType="separate"/>
            </w:r>
            <w:r w:rsidR="00DD3E1D">
              <w:rPr>
                <w:bCs/>
                <w:noProof/>
                <w:sz w:val="16"/>
                <w:szCs w:val="16"/>
              </w:rPr>
              <w:t>9</w:t>
            </w:r>
            <w:r w:rsidRPr="008C0795">
              <w:rPr>
                <w:bCs/>
                <w:sz w:val="16"/>
                <w:szCs w:val="16"/>
              </w:rPr>
              <w:fldChar w:fldCharType="end"/>
            </w:r>
            <w:r w:rsidRPr="008C0795">
              <w:rPr>
                <w:sz w:val="16"/>
                <w:szCs w:val="16"/>
              </w:rPr>
              <w:t xml:space="preserve"> di </w:t>
            </w:r>
            <w:r w:rsidRPr="008C0795">
              <w:rPr>
                <w:bCs/>
                <w:sz w:val="16"/>
                <w:szCs w:val="16"/>
              </w:rPr>
              <w:fldChar w:fldCharType="begin"/>
            </w:r>
            <w:r w:rsidRPr="008C0795">
              <w:rPr>
                <w:bCs/>
                <w:sz w:val="16"/>
                <w:szCs w:val="16"/>
              </w:rPr>
              <w:instrText>NUMPAGES</w:instrText>
            </w:r>
            <w:r w:rsidRPr="008C0795">
              <w:rPr>
                <w:bCs/>
                <w:sz w:val="16"/>
                <w:szCs w:val="16"/>
              </w:rPr>
              <w:fldChar w:fldCharType="separate"/>
            </w:r>
            <w:r w:rsidR="00DD3E1D">
              <w:rPr>
                <w:bCs/>
                <w:noProof/>
                <w:sz w:val="16"/>
                <w:szCs w:val="16"/>
              </w:rPr>
              <w:t>9</w:t>
            </w:r>
            <w:r w:rsidRPr="008C0795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F5CE743" w14:textId="58E873A4" w:rsidR="006C0722" w:rsidRDefault="000E3FD6" w:rsidP="000E3FD6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t xml:space="preserve"> </w:t>
    </w:r>
    <w:r w:rsidR="006C0722"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36266BCA" wp14:editId="6EE2FAC8">
          <wp:simplePos x="0" y="0"/>
          <wp:positionH relativeFrom="column">
            <wp:posOffset>-674453</wp:posOffset>
          </wp:positionH>
          <wp:positionV relativeFrom="paragraph">
            <wp:posOffset>320095</wp:posOffset>
          </wp:positionV>
          <wp:extent cx="7571740" cy="741680"/>
          <wp:effectExtent l="0" t="0" r="0" b="127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A856E" w14:textId="77777777" w:rsidR="006A32F8" w:rsidRDefault="006A32F8" w:rsidP="00C07183">
      <w:pPr>
        <w:spacing w:after="0" w:line="240" w:lineRule="auto"/>
      </w:pPr>
      <w:r>
        <w:separator/>
      </w:r>
    </w:p>
  </w:footnote>
  <w:footnote w:type="continuationSeparator" w:id="0">
    <w:p w14:paraId="6A4C9BDA" w14:textId="77777777" w:rsidR="006A32F8" w:rsidRDefault="006A32F8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1AC"/>
    <w:rsid w:val="00010F5F"/>
    <w:rsid w:val="00013020"/>
    <w:rsid w:val="00014743"/>
    <w:rsid w:val="00020054"/>
    <w:rsid w:val="0002205E"/>
    <w:rsid w:val="00022511"/>
    <w:rsid w:val="00022F32"/>
    <w:rsid w:val="00023CEA"/>
    <w:rsid w:val="00035216"/>
    <w:rsid w:val="00035DB7"/>
    <w:rsid w:val="00050F6A"/>
    <w:rsid w:val="00062636"/>
    <w:rsid w:val="00071E63"/>
    <w:rsid w:val="000759F6"/>
    <w:rsid w:val="000808A3"/>
    <w:rsid w:val="000A4BA1"/>
    <w:rsid w:val="000B7AC8"/>
    <w:rsid w:val="000C1389"/>
    <w:rsid w:val="000C3637"/>
    <w:rsid w:val="000E1F86"/>
    <w:rsid w:val="000E3FD6"/>
    <w:rsid w:val="000E4494"/>
    <w:rsid w:val="000E4A73"/>
    <w:rsid w:val="000E51EE"/>
    <w:rsid w:val="000F658F"/>
    <w:rsid w:val="00111E9E"/>
    <w:rsid w:val="00112B76"/>
    <w:rsid w:val="00126BC8"/>
    <w:rsid w:val="001334B1"/>
    <w:rsid w:val="001460CA"/>
    <w:rsid w:val="0015007C"/>
    <w:rsid w:val="00172AED"/>
    <w:rsid w:val="0019383F"/>
    <w:rsid w:val="001A02E1"/>
    <w:rsid w:val="001A516D"/>
    <w:rsid w:val="001B2799"/>
    <w:rsid w:val="001B599D"/>
    <w:rsid w:val="001C15DF"/>
    <w:rsid w:val="001C4323"/>
    <w:rsid w:val="001F0D20"/>
    <w:rsid w:val="001F11E7"/>
    <w:rsid w:val="001F5E2F"/>
    <w:rsid w:val="002074C4"/>
    <w:rsid w:val="0021736D"/>
    <w:rsid w:val="00241603"/>
    <w:rsid w:val="00245B04"/>
    <w:rsid w:val="00252FE8"/>
    <w:rsid w:val="002554FE"/>
    <w:rsid w:val="00265B61"/>
    <w:rsid w:val="00277A0E"/>
    <w:rsid w:val="00285241"/>
    <w:rsid w:val="00295EEA"/>
    <w:rsid w:val="00297F10"/>
    <w:rsid w:val="002A1800"/>
    <w:rsid w:val="002A18BA"/>
    <w:rsid w:val="002B662A"/>
    <w:rsid w:val="002C2324"/>
    <w:rsid w:val="002C2D9F"/>
    <w:rsid w:val="002E0447"/>
    <w:rsid w:val="002F2543"/>
    <w:rsid w:val="002F4000"/>
    <w:rsid w:val="00300BEA"/>
    <w:rsid w:val="00303EAD"/>
    <w:rsid w:val="00305B55"/>
    <w:rsid w:val="003061E0"/>
    <w:rsid w:val="00323648"/>
    <w:rsid w:val="003238CF"/>
    <w:rsid w:val="00330DFA"/>
    <w:rsid w:val="00340DC4"/>
    <w:rsid w:val="003452D3"/>
    <w:rsid w:val="003460E9"/>
    <w:rsid w:val="00346E6C"/>
    <w:rsid w:val="00353990"/>
    <w:rsid w:val="003544C6"/>
    <w:rsid w:val="00367CE0"/>
    <w:rsid w:val="00387CA8"/>
    <w:rsid w:val="003949F9"/>
    <w:rsid w:val="003A4465"/>
    <w:rsid w:val="003B0421"/>
    <w:rsid w:val="003B06FC"/>
    <w:rsid w:val="003B68D5"/>
    <w:rsid w:val="003C054E"/>
    <w:rsid w:val="003E1E83"/>
    <w:rsid w:val="003E551B"/>
    <w:rsid w:val="003E709F"/>
    <w:rsid w:val="00402040"/>
    <w:rsid w:val="0040622B"/>
    <w:rsid w:val="004062BF"/>
    <w:rsid w:val="0041387F"/>
    <w:rsid w:val="00420960"/>
    <w:rsid w:val="004214DB"/>
    <w:rsid w:val="0042214D"/>
    <w:rsid w:val="00423A97"/>
    <w:rsid w:val="004241AC"/>
    <w:rsid w:val="0042594C"/>
    <w:rsid w:val="00437283"/>
    <w:rsid w:val="00442A9D"/>
    <w:rsid w:val="00445DB2"/>
    <w:rsid w:val="004509BC"/>
    <w:rsid w:val="004532E2"/>
    <w:rsid w:val="004609F8"/>
    <w:rsid w:val="00461D93"/>
    <w:rsid w:val="004631F3"/>
    <w:rsid w:val="00482C32"/>
    <w:rsid w:val="00487DB0"/>
    <w:rsid w:val="00491B17"/>
    <w:rsid w:val="00497CA4"/>
    <w:rsid w:val="004B20A8"/>
    <w:rsid w:val="004B5B15"/>
    <w:rsid w:val="004C0689"/>
    <w:rsid w:val="004C5499"/>
    <w:rsid w:val="004E28E5"/>
    <w:rsid w:val="004E50F8"/>
    <w:rsid w:val="004E5A39"/>
    <w:rsid w:val="004E70F5"/>
    <w:rsid w:val="004F343B"/>
    <w:rsid w:val="005000B5"/>
    <w:rsid w:val="00500ACA"/>
    <w:rsid w:val="00502859"/>
    <w:rsid w:val="005049A1"/>
    <w:rsid w:val="00504FC1"/>
    <w:rsid w:val="005250B6"/>
    <w:rsid w:val="005256F6"/>
    <w:rsid w:val="005273DE"/>
    <w:rsid w:val="00534808"/>
    <w:rsid w:val="0056372C"/>
    <w:rsid w:val="00567615"/>
    <w:rsid w:val="005744D4"/>
    <w:rsid w:val="00577746"/>
    <w:rsid w:val="00577DAC"/>
    <w:rsid w:val="0058250D"/>
    <w:rsid w:val="005826A6"/>
    <w:rsid w:val="005869A6"/>
    <w:rsid w:val="005870C6"/>
    <w:rsid w:val="005908BE"/>
    <w:rsid w:val="005950D6"/>
    <w:rsid w:val="005A466E"/>
    <w:rsid w:val="005A4BBD"/>
    <w:rsid w:val="005B4C97"/>
    <w:rsid w:val="005C2427"/>
    <w:rsid w:val="005C45B7"/>
    <w:rsid w:val="005D1529"/>
    <w:rsid w:val="005D18E5"/>
    <w:rsid w:val="005D78C2"/>
    <w:rsid w:val="005F54B1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7BD"/>
    <w:rsid w:val="006746D8"/>
    <w:rsid w:val="006A32F8"/>
    <w:rsid w:val="006A3A37"/>
    <w:rsid w:val="006B311C"/>
    <w:rsid w:val="006B3E12"/>
    <w:rsid w:val="006C0722"/>
    <w:rsid w:val="006C08B4"/>
    <w:rsid w:val="006C5811"/>
    <w:rsid w:val="006C5D6C"/>
    <w:rsid w:val="006D7B8C"/>
    <w:rsid w:val="006F44C7"/>
    <w:rsid w:val="00712DB3"/>
    <w:rsid w:val="00713EF8"/>
    <w:rsid w:val="00716DF5"/>
    <w:rsid w:val="007170D7"/>
    <w:rsid w:val="007221B6"/>
    <w:rsid w:val="00745609"/>
    <w:rsid w:val="00747E46"/>
    <w:rsid w:val="00760C57"/>
    <w:rsid w:val="00766E26"/>
    <w:rsid w:val="0078608F"/>
    <w:rsid w:val="0078680B"/>
    <w:rsid w:val="00797416"/>
    <w:rsid w:val="007A1C0E"/>
    <w:rsid w:val="007C0622"/>
    <w:rsid w:val="007D2539"/>
    <w:rsid w:val="007E4E98"/>
    <w:rsid w:val="00811B01"/>
    <w:rsid w:val="00812C19"/>
    <w:rsid w:val="00823F4C"/>
    <w:rsid w:val="00834779"/>
    <w:rsid w:val="008375CF"/>
    <w:rsid w:val="00843786"/>
    <w:rsid w:val="00845707"/>
    <w:rsid w:val="008538C0"/>
    <w:rsid w:val="00853EC6"/>
    <w:rsid w:val="008547B3"/>
    <w:rsid w:val="00863E9B"/>
    <w:rsid w:val="008767B9"/>
    <w:rsid w:val="00880FB4"/>
    <w:rsid w:val="008819D4"/>
    <w:rsid w:val="00881BCB"/>
    <w:rsid w:val="0088216F"/>
    <w:rsid w:val="00890A5C"/>
    <w:rsid w:val="008A00B5"/>
    <w:rsid w:val="008A6FEC"/>
    <w:rsid w:val="008B214E"/>
    <w:rsid w:val="008B46E3"/>
    <w:rsid w:val="008B60D7"/>
    <w:rsid w:val="008C3877"/>
    <w:rsid w:val="008C3D30"/>
    <w:rsid w:val="008C70DB"/>
    <w:rsid w:val="008C75F9"/>
    <w:rsid w:val="008D1529"/>
    <w:rsid w:val="008E3D9E"/>
    <w:rsid w:val="008F117D"/>
    <w:rsid w:val="008F1FD9"/>
    <w:rsid w:val="009232AA"/>
    <w:rsid w:val="009254CC"/>
    <w:rsid w:val="00943785"/>
    <w:rsid w:val="009477D6"/>
    <w:rsid w:val="009565BA"/>
    <w:rsid w:val="009568D6"/>
    <w:rsid w:val="00957832"/>
    <w:rsid w:val="0098264A"/>
    <w:rsid w:val="0098470E"/>
    <w:rsid w:val="0099120C"/>
    <w:rsid w:val="00997646"/>
    <w:rsid w:val="00997F05"/>
    <w:rsid w:val="009A23DE"/>
    <w:rsid w:val="009A260F"/>
    <w:rsid w:val="009A28E4"/>
    <w:rsid w:val="009B03DB"/>
    <w:rsid w:val="009B08D5"/>
    <w:rsid w:val="009B1E44"/>
    <w:rsid w:val="009C3E8B"/>
    <w:rsid w:val="009D3446"/>
    <w:rsid w:val="009D3F37"/>
    <w:rsid w:val="009D6D31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06D08"/>
    <w:rsid w:val="00A11FD6"/>
    <w:rsid w:val="00A247C5"/>
    <w:rsid w:val="00A31CC1"/>
    <w:rsid w:val="00A40FF3"/>
    <w:rsid w:val="00A41EF4"/>
    <w:rsid w:val="00A47604"/>
    <w:rsid w:val="00A5240A"/>
    <w:rsid w:val="00A56F0E"/>
    <w:rsid w:val="00A62D55"/>
    <w:rsid w:val="00A83AB4"/>
    <w:rsid w:val="00A84362"/>
    <w:rsid w:val="00A86F5A"/>
    <w:rsid w:val="00A908B9"/>
    <w:rsid w:val="00A91D90"/>
    <w:rsid w:val="00A966D1"/>
    <w:rsid w:val="00AA516E"/>
    <w:rsid w:val="00AB0B9F"/>
    <w:rsid w:val="00AB2C09"/>
    <w:rsid w:val="00AC3E39"/>
    <w:rsid w:val="00AC586B"/>
    <w:rsid w:val="00AD051C"/>
    <w:rsid w:val="00AD4BE6"/>
    <w:rsid w:val="00AF52E2"/>
    <w:rsid w:val="00B023E9"/>
    <w:rsid w:val="00B03E01"/>
    <w:rsid w:val="00B1186F"/>
    <w:rsid w:val="00B15135"/>
    <w:rsid w:val="00B23E82"/>
    <w:rsid w:val="00B30325"/>
    <w:rsid w:val="00B30431"/>
    <w:rsid w:val="00B46625"/>
    <w:rsid w:val="00B51571"/>
    <w:rsid w:val="00B757CE"/>
    <w:rsid w:val="00B75C2B"/>
    <w:rsid w:val="00B862CA"/>
    <w:rsid w:val="00BA0ACD"/>
    <w:rsid w:val="00BB2AF8"/>
    <w:rsid w:val="00BB7B54"/>
    <w:rsid w:val="00BC561B"/>
    <w:rsid w:val="00BC74C2"/>
    <w:rsid w:val="00BD39EB"/>
    <w:rsid w:val="00BE2532"/>
    <w:rsid w:val="00BE7CDB"/>
    <w:rsid w:val="00BF55B9"/>
    <w:rsid w:val="00BF7A42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1D47"/>
    <w:rsid w:val="00C66597"/>
    <w:rsid w:val="00C74500"/>
    <w:rsid w:val="00C95E26"/>
    <w:rsid w:val="00CA7F48"/>
    <w:rsid w:val="00CC1489"/>
    <w:rsid w:val="00CC52A3"/>
    <w:rsid w:val="00CC7AFF"/>
    <w:rsid w:val="00CE62A1"/>
    <w:rsid w:val="00CF08A6"/>
    <w:rsid w:val="00CF3393"/>
    <w:rsid w:val="00D20170"/>
    <w:rsid w:val="00D212AA"/>
    <w:rsid w:val="00D36F9A"/>
    <w:rsid w:val="00D60600"/>
    <w:rsid w:val="00D6711E"/>
    <w:rsid w:val="00D7371F"/>
    <w:rsid w:val="00D942DC"/>
    <w:rsid w:val="00DB021E"/>
    <w:rsid w:val="00DB359A"/>
    <w:rsid w:val="00DB660A"/>
    <w:rsid w:val="00DC187E"/>
    <w:rsid w:val="00DD3E1D"/>
    <w:rsid w:val="00E10D6C"/>
    <w:rsid w:val="00E207B1"/>
    <w:rsid w:val="00E20E87"/>
    <w:rsid w:val="00E25D34"/>
    <w:rsid w:val="00E26828"/>
    <w:rsid w:val="00E42578"/>
    <w:rsid w:val="00E43089"/>
    <w:rsid w:val="00E83F8D"/>
    <w:rsid w:val="00E84B17"/>
    <w:rsid w:val="00E8749D"/>
    <w:rsid w:val="00EB4398"/>
    <w:rsid w:val="00EC3589"/>
    <w:rsid w:val="00ED19E3"/>
    <w:rsid w:val="00ED72E4"/>
    <w:rsid w:val="00EF062E"/>
    <w:rsid w:val="00EF6711"/>
    <w:rsid w:val="00F03C03"/>
    <w:rsid w:val="00F1246A"/>
    <w:rsid w:val="00F13377"/>
    <w:rsid w:val="00F27C7F"/>
    <w:rsid w:val="00F35F38"/>
    <w:rsid w:val="00F544F5"/>
    <w:rsid w:val="00F66767"/>
    <w:rsid w:val="00F67DFC"/>
    <w:rsid w:val="00F67F95"/>
    <w:rsid w:val="00F70704"/>
    <w:rsid w:val="00F70FE8"/>
    <w:rsid w:val="00F76F77"/>
    <w:rsid w:val="00F85989"/>
    <w:rsid w:val="00F90F1F"/>
    <w:rsid w:val="00F91BD5"/>
    <w:rsid w:val="00F96473"/>
    <w:rsid w:val="00F964BE"/>
    <w:rsid w:val="00FA2702"/>
    <w:rsid w:val="00FA271D"/>
    <w:rsid w:val="00FB3BF5"/>
    <w:rsid w:val="00FB4181"/>
    <w:rsid w:val="00FC0183"/>
    <w:rsid w:val="00FD415D"/>
    <w:rsid w:val="00FE7ED2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styleId="Menzionenonrisolta">
    <w:name w:val="Unresolved Mention"/>
    <w:basedOn w:val="Carpredefinitoparagrafo"/>
    <w:uiPriority w:val="99"/>
    <w:semiHidden/>
    <w:unhideWhenUsed/>
    <w:rsid w:val="00AB2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/home" TargetMode="Externa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7037F-DA53-4BFA-B316-5A612625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Maria D'Alcamo</cp:lastModifiedBy>
  <cp:revision>5</cp:revision>
  <cp:lastPrinted>2024-12-18T09:16:00Z</cp:lastPrinted>
  <dcterms:created xsi:type="dcterms:W3CDTF">2024-12-20T11:12:00Z</dcterms:created>
  <dcterms:modified xsi:type="dcterms:W3CDTF">2024-12-20T14:31:00Z</dcterms:modified>
</cp:coreProperties>
</file>