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32D81" w:rsidP="00B32D81">
      <w:pPr>
        <w:spacing w:after="0" w:line="240" w:lineRule="auto"/>
        <w:jc w:val="center"/>
        <w:rPr>
          <w:b/>
          <w:sz w:val="28"/>
        </w:rPr>
      </w:pPr>
      <w:r w:rsidRPr="001C7AD0">
        <w:rPr>
          <w:b/>
          <w:sz w:val="28"/>
        </w:rPr>
        <w:t>R</w:t>
      </w:r>
      <w:r w:rsidR="004241AC" w:rsidRPr="001C7AD0">
        <w:rPr>
          <w:b/>
          <w:sz w:val="28"/>
        </w:rPr>
        <w:t>elazione 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1C7AD0" w:rsidRPr="00B32D81" w:rsidRDefault="001C7AD0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02AB1" w:rsidRPr="006C7A1A" w:rsidRDefault="006C7A1A" w:rsidP="00B32D81">
      <w:pPr>
        <w:widowControl w:val="0"/>
        <w:spacing w:after="0" w:line="240" w:lineRule="auto"/>
        <w:jc w:val="center"/>
        <w:rPr>
          <w:rFonts w:eastAsia="Calibri" w:cs="Calibri"/>
          <w:b/>
          <w:color w:val="000000"/>
          <w:sz w:val="24"/>
          <w:szCs w:val="24"/>
          <w:lang w:eastAsia="it-IT"/>
        </w:rPr>
      </w:pPr>
      <w:r w:rsidRPr="006C7A1A">
        <w:rPr>
          <w:rFonts w:eastAsia="Calibri" w:cs="Calibri"/>
          <w:b/>
          <w:color w:val="000000"/>
          <w:sz w:val="24"/>
          <w:szCs w:val="24"/>
          <w:lang w:eastAsia="it-IT"/>
        </w:rPr>
        <w:t>ACIDO CLODRONICO DOC GENERICI</w:t>
      </w:r>
    </w:p>
    <w:p w:rsidR="004241AC" w:rsidRPr="006C7A1A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6C7A1A">
        <w:rPr>
          <w:snapToGrid w:val="0"/>
        </w:rPr>
        <w:t>(</w:t>
      </w:r>
      <w:r w:rsidR="006C7A1A" w:rsidRPr="006C7A1A">
        <w:rPr>
          <w:snapToGrid w:val="0"/>
        </w:rPr>
        <w:t>DOC Generici s.r.l.</w:t>
      </w:r>
      <w:r w:rsidR="004241AC" w:rsidRPr="006C7A1A">
        <w:rPr>
          <w:snapToGrid w:val="0"/>
        </w:rPr>
        <w:t>)</w:t>
      </w:r>
    </w:p>
    <w:p w:rsidR="004241AC" w:rsidRPr="006C7A1A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6C7A1A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F0F0B" w:rsidRDefault="009F0F0B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310B73">
        <w:rPr>
          <w:b/>
        </w:rPr>
        <w:t>04462</w:t>
      </w:r>
      <w:r w:rsidR="009361B2">
        <w:rPr>
          <w:b/>
        </w:rPr>
        <w:t>6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6C7A1A">
        <w:rPr>
          <w:rFonts w:cs="Times New Roman"/>
          <w:bCs/>
          <w:color w:val="000000"/>
        </w:rPr>
        <w:t>ACIDO CLODRONICO DOC GENERICI</w:t>
      </w:r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8197E" w:rsidRDefault="006C7A1A" w:rsidP="00D8197E">
      <w:pPr>
        <w:contextualSpacing/>
        <w:jc w:val="both"/>
        <w:rPr>
          <w:rFonts w:ascii="Calibri" w:eastAsia="Times New Roman" w:hAnsi="Calibri" w:cs="Times New Roman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 w:rsidR="00D8197E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D8197E" w:rsidRPr="006E58E6">
        <w:rPr>
          <w:rFonts w:ascii="Calibri" w:eastAsia="Times New Roman" w:hAnsi="Calibri" w:cs="Times New Roman"/>
        </w:rPr>
        <w:t>clodronato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proofErr w:type="spellStart"/>
      <w:r w:rsidR="00D8197E" w:rsidRPr="006E58E6">
        <w:rPr>
          <w:rFonts w:ascii="Calibri" w:eastAsia="Times New Roman" w:hAnsi="Calibri" w:cs="Times New Roman"/>
        </w:rPr>
        <w:t>disodico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proofErr w:type="spellStart"/>
      <w:r w:rsidR="00D8197E" w:rsidRPr="006E58E6">
        <w:rPr>
          <w:rFonts w:ascii="Calibri" w:eastAsia="Times New Roman" w:hAnsi="Calibri" w:cs="Times New Roman"/>
        </w:rPr>
        <w:t>tetraidrato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r w:rsidR="00D8197E">
        <w:rPr>
          <w:rFonts w:ascii="Calibri" w:eastAsia="Times New Roman" w:hAnsi="Calibri" w:cs="Times New Roman"/>
        </w:rPr>
        <w:t>e</w:t>
      </w:r>
      <w:r w:rsidR="00D8197E" w:rsidRPr="006E58E6">
        <w:rPr>
          <w:rFonts w:ascii="Calibri" w:eastAsia="Times New Roman" w:hAnsi="Calibri" w:cs="Times New Roman"/>
        </w:rPr>
        <w:t xml:space="preserve"> lidocaina cloridrato.</w:t>
      </w:r>
    </w:p>
    <w:p w:rsidR="009A3BA6" w:rsidRPr="006E58E6" w:rsidRDefault="009A3BA6" w:rsidP="00D8197E">
      <w:pPr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Il </w:t>
      </w:r>
      <w:proofErr w:type="spellStart"/>
      <w:r w:rsidRPr="009A3BA6">
        <w:rPr>
          <w:rFonts w:eastAsia="Calibri" w:cs="Calibri"/>
          <w:color w:val="000000"/>
          <w:lang w:eastAsia="it-IT"/>
        </w:rPr>
        <w:t>clodronato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A3BA6">
        <w:rPr>
          <w:rFonts w:eastAsia="Calibri" w:cs="Calibri"/>
          <w:color w:val="000000"/>
          <w:lang w:eastAsia="it-IT"/>
        </w:rPr>
        <w:t>disodico</w:t>
      </w:r>
      <w:proofErr w:type="spellEnd"/>
      <w:r>
        <w:rPr>
          <w:rFonts w:eastAsia="Calibri" w:cs="Calibri"/>
          <w:color w:val="000000"/>
          <w:lang w:eastAsia="it-IT"/>
        </w:rPr>
        <w:t xml:space="preserve"> è</w:t>
      </w:r>
      <w:r w:rsidRPr="009A3BA6">
        <w:rPr>
          <w:rFonts w:eastAsia="Calibri" w:cs="Calibri"/>
          <w:color w:val="000000"/>
          <w:lang w:eastAsia="it-IT"/>
        </w:rPr>
        <w:t xml:space="preserve"> un principio attivo che appartiene ad un gruppo di farmaci per il trattamento delle malattie delle ossa, chiamati </w:t>
      </w:r>
      <w:proofErr w:type="spellStart"/>
      <w:r w:rsidRPr="009A3BA6">
        <w:rPr>
          <w:rFonts w:eastAsia="Calibri" w:cs="Calibri"/>
          <w:color w:val="000000"/>
          <w:lang w:eastAsia="it-IT"/>
        </w:rPr>
        <w:t>bifosfonati</w:t>
      </w:r>
      <w:proofErr w:type="spellEnd"/>
      <w:r w:rsidRPr="009A3BA6">
        <w:rPr>
          <w:rFonts w:eastAsia="Calibri" w:cs="Calibri"/>
          <w:color w:val="000000"/>
          <w:lang w:eastAsia="it-IT"/>
        </w:rPr>
        <w:t>.</w:t>
      </w:r>
    </w:p>
    <w:p w:rsidR="00364C44" w:rsidRDefault="006C7A1A" w:rsidP="00D8197E">
      <w:pPr>
        <w:widowControl w:val="0"/>
        <w:spacing w:after="0" w:line="240" w:lineRule="auto"/>
        <w:contextualSpacing/>
        <w:jc w:val="both"/>
        <w:rPr>
          <w:rFonts w:ascii="Calibri" w:hAnsi="Calibri" w:cs="Arial"/>
          <w:bCs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8197E" w:rsidRPr="00F64ED6">
        <w:rPr>
          <w:rFonts w:ascii="Calibri" w:eastAsia="Calibri" w:hAnsi="Calibri" w:cs="Arial"/>
          <w:bCs/>
        </w:rPr>
        <w:t>soluzione iniettabile per uso intramuscolare</w:t>
      </w:r>
      <w:r w:rsidR="00364C44">
        <w:rPr>
          <w:rFonts w:ascii="Calibri" w:hAnsi="Calibri" w:cs="Arial"/>
          <w:bCs/>
        </w:rPr>
        <w:t xml:space="preserve">. </w:t>
      </w:r>
    </w:p>
    <w:p w:rsidR="00D8197E" w:rsidRDefault="00364C44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ascii="Calibri" w:hAnsi="Calibri" w:cs="Arial"/>
          <w:bCs/>
        </w:rPr>
        <w:t>Una fiala</w:t>
      </w:r>
      <w:r w:rsidR="00D8197E" w:rsidRPr="00F64ED6">
        <w:rPr>
          <w:rFonts w:ascii="Calibri" w:eastAsia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 xml:space="preserve">da 3,3 ml </w:t>
      </w:r>
      <w:r>
        <w:rPr>
          <w:rFonts w:eastAsia="Calibri" w:cs="Calibri"/>
          <w:color w:val="000000"/>
          <w:lang w:eastAsia="it-IT"/>
        </w:rPr>
        <w:t>contiene</w:t>
      </w:r>
      <w:r w:rsidR="00D8197E" w:rsidRPr="00B32D8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100 mg del principio attivo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8197E" w:rsidRPr="00D8197E">
        <w:rPr>
          <w:rFonts w:eastAsia="Calibri" w:cs="Calibri"/>
          <w:color w:val="000000"/>
          <w:lang w:eastAsia="it-IT"/>
        </w:rPr>
        <w:t>clodronato</w:t>
      </w:r>
      <w:proofErr w:type="spellEnd"/>
      <w:r w:rsidR="00D8197E" w:rsidRPr="00D8197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8197E" w:rsidRPr="00D8197E">
        <w:rPr>
          <w:rFonts w:eastAsia="Calibri" w:cs="Calibri"/>
          <w:color w:val="000000"/>
          <w:lang w:eastAsia="it-IT"/>
        </w:rPr>
        <w:t>disodico</w:t>
      </w:r>
      <w:proofErr w:type="spellEnd"/>
      <w:r w:rsidR="00D8197E" w:rsidRPr="00D8197E">
        <w:rPr>
          <w:rFonts w:eastAsia="Calibri" w:cs="Calibri"/>
          <w:color w:val="000000"/>
          <w:lang w:eastAsia="it-IT"/>
        </w:rPr>
        <w:t xml:space="preserve"> </w:t>
      </w:r>
      <w:r w:rsidR="00D8197E">
        <w:rPr>
          <w:rFonts w:eastAsia="Calibri" w:cs="Calibri"/>
          <w:color w:val="000000"/>
          <w:lang w:eastAsia="it-IT"/>
        </w:rPr>
        <w:t xml:space="preserve">e </w:t>
      </w:r>
      <w:r>
        <w:rPr>
          <w:rFonts w:eastAsia="Calibri" w:cs="Calibri"/>
          <w:color w:val="000000"/>
          <w:lang w:eastAsia="it-IT"/>
        </w:rPr>
        <w:t xml:space="preserve">33 mg del principio attivo </w:t>
      </w:r>
      <w:r w:rsidR="00D8197E">
        <w:rPr>
          <w:rFonts w:eastAsia="Calibri" w:cs="Calibri"/>
          <w:color w:val="000000"/>
          <w:lang w:eastAsia="it-IT"/>
        </w:rPr>
        <w:t xml:space="preserve">lidocaina cloridrato </w:t>
      </w:r>
      <w:r>
        <w:rPr>
          <w:rFonts w:eastAsia="Calibri" w:cs="Calibri"/>
          <w:color w:val="000000"/>
          <w:lang w:eastAsia="it-IT"/>
        </w:rPr>
        <w:t>(</w:t>
      </w:r>
      <w:r w:rsidR="00D8197E">
        <w:rPr>
          <w:rFonts w:eastAsia="Calibri" w:cs="Calibri"/>
          <w:color w:val="000000"/>
          <w:lang w:eastAsia="it-IT"/>
        </w:rPr>
        <w:t>1%</w:t>
      </w:r>
      <w:r>
        <w:rPr>
          <w:rFonts w:eastAsia="Calibri" w:cs="Calibri"/>
          <w:color w:val="000000"/>
          <w:lang w:eastAsia="it-IT"/>
        </w:rPr>
        <w:t>)</w:t>
      </w:r>
      <w:r w:rsidR="00D8197E">
        <w:rPr>
          <w:rFonts w:eastAsia="Calibri" w:cs="Calibri"/>
          <w:color w:val="000000"/>
          <w:lang w:eastAsia="it-IT"/>
        </w:rPr>
        <w:t>.</w:t>
      </w:r>
    </w:p>
    <w:p w:rsidR="00364C44" w:rsidRPr="00364C44" w:rsidRDefault="00364C44" w:rsidP="00364C44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364C44">
        <w:rPr>
          <w:rFonts w:eastAsia="Calibri" w:cs="Calibri"/>
          <w:bCs/>
          <w:color w:val="000000"/>
          <w:lang w:eastAsia="it-IT"/>
        </w:rPr>
        <w:t>Una fiala</w:t>
      </w:r>
      <w:r w:rsidRPr="00364C44">
        <w:rPr>
          <w:rFonts w:ascii="Calibri" w:eastAsia="Calibri" w:hAnsi="Calibri" w:cs="Calibri"/>
          <w:bCs/>
          <w:color w:val="000000"/>
          <w:lang w:eastAsia="it-IT"/>
        </w:rPr>
        <w:t xml:space="preserve"> </w:t>
      </w:r>
      <w:r w:rsidRPr="00364C44">
        <w:rPr>
          <w:rFonts w:eastAsia="Calibri" w:cs="Calibri"/>
          <w:bCs/>
          <w:color w:val="000000"/>
          <w:lang w:eastAsia="it-IT"/>
        </w:rPr>
        <w:t xml:space="preserve">da </w:t>
      </w:r>
      <w:r>
        <w:rPr>
          <w:rFonts w:eastAsia="Calibri" w:cs="Calibri"/>
          <w:bCs/>
          <w:color w:val="000000"/>
          <w:lang w:eastAsia="it-IT"/>
        </w:rPr>
        <w:t>4</w:t>
      </w:r>
      <w:r w:rsidRPr="00364C44">
        <w:rPr>
          <w:rFonts w:eastAsia="Calibri" w:cs="Calibri"/>
          <w:bCs/>
          <w:color w:val="000000"/>
          <w:lang w:eastAsia="it-IT"/>
        </w:rPr>
        <w:t xml:space="preserve"> ml </w:t>
      </w:r>
      <w:r w:rsidRPr="00364C44">
        <w:rPr>
          <w:rFonts w:eastAsia="Calibri" w:cs="Calibri"/>
          <w:color w:val="000000"/>
          <w:lang w:eastAsia="it-IT"/>
        </w:rPr>
        <w:t xml:space="preserve">contiene </w:t>
      </w:r>
      <w:r>
        <w:rPr>
          <w:rFonts w:eastAsia="Calibri" w:cs="Calibri"/>
          <w:color w:val="000000"/>
          <w:lang w:eastAsia="it-IT"/>
        </w:rPr>
        <w:t>2</w:t>
      </w:r>
      <w:r w:rsidRPr="00364C44">
        <w:rPr>
          <w:rFonts w:eastAsia="Calibri" w:cs="Calibri"/>
          <w:color w:val="000000"/>
          <w:lang w:eastAsia="it-IT"/>
        </w:rPr>
        <w:t xml:space="preserve">00 mg del principio attivo </w:t>
      </w:r>
      <w:proofErr w:type="spellStart"/>
      <w:r w:rsidRPr="00364C44">
        <w:rPr>
          <w:rFonts w:eastAsia="Calibri" w:cs="Calibri"/>
          <w:color w:val="000000"/>
          <w:lang w:eastAsia="it-IT"/>
        </w:rPr>
        <w:t>clodronato</w:t>
      </w:r>
      <w:proofErr w:type="spellEnd"/>
      <w:r w:rsidRPr="00364C4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364C44">
        <w:rPr>
          <w:rFonts w:eastAsia="Calibri" w:cs="Calibri"/>
          <w:color w:val="000000"/>
          <w:lang w:eastAsia="it-IT"/>
        </w:rPr>
        <w:t>disodico</w:t>
      </w:r>
      <w:proofErr w:type="spellEnd"/>
      <w:r w:rsidRPr="00364C44">
        <w:rPr>
          <w:rFonts w:eastAsia="Calibri" w:cs="Calibri"/>
          <w:color w:val="000000"/>
          <w:lang w:eastAsia="it-IT"/>
        </w:rPr>
        <w:t xml:space="preserve"> e </w:t>
      </w:r>
      <w:r>
        <w:rPr>
          <w:rFonts w:eastAsia="Calibri" w:cs="Calibri"/>
          <w:color w:val="000000"/>
          <w:lang w:eastAsia="it-IT"/>
        </w:rPr>
        <w:t>40</w:t>
      </w:r>
      <w:r w:rsidRPr="00364C44">
        <w:rPr>
          <w:rFonts w:eastAsia="Calibri" w:cs="Calibri"/>
          <w:color w:val="000000"/>
          <w:lang w:eastAsia="it-IT"/>
        </w:rPr>
        <w:t xml:space="preserve"> mg del principio attivo lidocaina cloridrato (1%).</w:t>
      </w:r>
    </w:p>
    <w:p w:rsidR="00B32D81" w:rsidRPr="003A0AA5" w:rsidRDefault="006C7A1A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="00364C44">
        <w:rPr>
          <w:rFonts w:eastAsia="Calibri" w:cs="Calibri"/>
          <w:color w:val="000000"/>
          <w:lang w:eastAsia="it-IT"/>
        </w:rPr>
        <w:t>Clasteon</w:t>
      </w:r>
      <w:proofErr w:type="spellEnd"/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9A3BA6" w:rsidRPr="009A3BA6" w:rsidRDefault="006C7A1A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9A3BA6" w:rsidRPr="009A3BA6">
        <w:rPr>
          <w:rFonts w:eastAsia="Calibri" w:cs="Calibri"/>
          <w:color w:val="000000"/>
          <w:lang w:eastAsia="it-IT"/>
        </w:rPr>
        <w:t xml:space="preserve"> è utilizzato negli adulti per il trattamento: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della perdita di consistenza delle ossa in seguito a tumore (</w:t>
      </w:r>
      <w:proofErr w:type="spellStart"/>
      <w:r w:rsidRPr="009A3BA6">
        <w:rPr>
          <w:rFonts w:eastAsia="Calibri" w:cs="Calibri"/>
          <w:color w:val="000000"/>
          <w:lang w:eastAsia="it-IT"/>
        </w:rPr>
        <w:t>osteolisi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tumorali);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di tumore del midollo osseo (mieloma multiplo);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dell’eccessiva funzionalità delle paratiroidi (</w:t>
      </w:r>
      <w:proofErr w:type="spellStart"/>
      <w:r w:rsidRPr="009A3BA6">
        <w:rPr>
          <w:rFonts w:eastAsia="Calibri" w:cs="Calibri"/>
          <w:color w:val="000000"/>
          <w:lang w:eastAsia="it-IT"/>
        </w:rPr>
        <w:t>iperparatiroidismo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primario).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È inoltre utilizzato nelle donne per la prevenzione e il trattamento della perdita di consistenza delle ossa (osteoporosi) dopo la menopausa (periodo di interruzione permanente del ciclo mestruale).</w:t>
      </w:r>
    </w:p>
    <w:p w:rsidR="009F0F0B" w:rsidRPr="00502AB1" w:rsidRDefault="009F0F0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61A5" w:rsidRDefault="004261A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6C7A1A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b/>
          <w:bCs/>
          <w:color w:val="000000"/>
          <w:lang w:eastAsia="it-IT"/>
        </w:rPr>
      </w:pPr>
      <w:r w:rsidRPr="009A3BA6">
        <w:rPr>
          <w:rFonts w:eastAsia="Calibri" w:cs="Verdana"/>
          <w:bCs/>
          <w:color w:val="000000"/>
          <w:lang w:eastAsia="it-IT"/>
        </w:rPr>
        <w:t xml:space="preserve">Il medicinale è solo per uso intramuscolare (da iniettare cioè in un muscolo) e </w:t>
      </w:r>
      <w:r w:rsidRPr="009A3BA6">
        <w:rPr>
          <w:rFonts w:eastAsia="Calibri" w:cs="Verdana"/>
          <w:b/>
          <w:bCs/>
          <w:color w:val="000000"/>
          <w:lang w:eastAsia="it-IT"/>
        </w:rPr>
        <w:t>non deve</w:t>
      </w:r>
      <w:r w:rsidRPr="009A3BA6">
        <w:rPr>
          <w:rFonts w:eastAsia="Calibri" w:cs="Verdana"/>
          <w:bCs/>
          <w:color w:val="000000"/>
          <w:lang w:eastAsia="it-IT"/>
        </w:rPr>
        <w:t xml:space="preserve"> essere somministrato all’interno di un vaso sanguigno (per via endovenosa). L’iniezione accidentale in una vena aumenta il rischio che si verifichino reazioni avverse gravi dovute all’elevata quantità nel s</w:t>
      </w:r>
      <w:r>
        <w:rPr>
          <w:rFonts w:eastAsia="Calibri" w:cs="Verdana"/>
          <w:bCs/>
          <w:color w:val="000000"/>
          <w:lang w:eastAsia="it-IT"/>
        </w:rPr>
        <w:t>angue dell’anestetico lidocaina.</w:t>
      </w:r>
      <w:r w:rsidRPr="009A3BA6">
        <w:rPr>
          <w:rFonts w:ascii="Times New Roman" w:hAnsi="Times New Roman"/>
        </w:rPr>
        <w:t xml:space="preserve"> 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bCs/>
          <w:color w:val="000000"/>
          <w:lang w:eastAsia="it-IT"/>
        </w:rPr>
      </w:pPr>
      <w:r w:rsidRPr="009A3BA6">
        <w:rPr>
          <w:rFonts w:eastAsia="Calibri" w:cs="Verdana"/>
          <w:bCs/>
          <w:color w:val="000000"/>
          <w:u w:val="single"/>
          <w:lang w:eastAsia="it-IT"/>
        </w:rPr>
        <w:t xml:space="preserve">Per </w:t>
      </w:r>
      <w:r>
        <w:rPr>
          <w:rFonts w:eastAsia="Calibri" w:cs="Verdana"/>
          <w:bCs/>
          <w:color w:val="000000"/>
          <w:u w:val="single"/>
          <w:lang w:eastAsia="it-IT"/>
        </w:rPr>
        <w:t xml:space="preserve">il trattamento dell’ </w:t>
      </w:r>
      <w:proofErr w:type="spellStart"/>
      <w:r w:rsidRPr="00D419A0">
        <w:rPr>
          <w:rFonts w:eastAsia="Calibri" w:cs="Verdana"/>
          <w:bCs/>
          <w:color w:val="000000"/>
          <w:u w:val="single"/>
          <w:lang w:eastAsia="it-IT"/>
        </w:rPr>
        <w:t>Osteolisi</w:t>
      </w:r>
      <w:proofErr w:type="spellEnd"/>
      <w:r w:rsidRPr="00D419A0">
        <w:rPr>
          <w:rFonts w:eastAsia="Calibri" w:cs="Verdana"/>
          <w:bCs/>
          <w:color w:val="000000"/>
          <w:u w:val="single"/>
          <w:lang w:eastAsia="it-IT"/>
        </w:rPr>
        <w:t xml:space="preserve"> tumorali, mieloma multiplo e </w:t>
      </w:r>
      <w:proofErr w:type="spellStart"/>
      <w:r w:rsidRPr="00D419A0">
        <w:rPr>
          <w:rFonts w:eastAsia="Calibri" w:cs="Verdana"/>
          <w:bCs/>
          <w:color w:val="000000"/>
          <w:u w:val="single"/>
          <w:lang w:eastAsia="it-IT"/>
        </w:rPr>
        <w:t>iperparatiroidismo</w:t>
      </w:r>
      <w:proofErr w:type="spellEnd"/>
      <w:r w:rsidRPr="00D419A0">
        <w:rPr>
          <w:rFonts w:eastAsia="Calibri" w:cs="Verdana"/>
          <w:bCs/>
          <w:color w:val="000000"/>
          <w:u w:val="single"/>
          <w:lang w:eastAsia="it-IT"/>
        </w:rPr>
        <w:t xml:space="preserve"> primario</w:t>
      </w:r>
      <w:r>
        <w:rPr>
          <w:rFonts w:eastAsia="Calibri" w:cs="Verdana"/>
          <w:bCs/>
          <w:color w:val="000000"/>
          <w:lang w:eastAsia="it-IT"/>
        </w:rPr>
        <w:t xml:space="preserve"> </w:t>
      </w:r>
      <w:r w:rsidR="006C7A1A">
        <w:rPr>
          <w:rFonts w:eastAsia="Calibri" w:cs="Verdana"/>
          <w:bCs/>
          <w:color w:val="000000"/>
          <w:lang w:eastAsia="it-IT"/>
        </w:rPr>
        <w:t>ACIDO CLODRONICO DOC GENERICI</w:t>
      </w:r>
      <w:r>
        <w:rPr>
          <w:rFonts w:eastAsia="Calibri" w:cs="Verdana"/>
          <w:bCs/>
          <w:color w:val="000000"/>
          <w:lang w:eastAsia="it-IT"/>
        </w:rPr>
        <w:t xml:space="preserve"> viene utilizzato </w:t>
      </w:r>
      <w:r w:rsidRPr="00D419A0">
        <w:rPr>
          <w:rFonts w:eastAsia="Calibri" w:cs="Verdana"/>
          <w:b/>
          <w:bCs/>
          <w:color w:val="000000"/>
          <w:lang w:eastAsia="it-IT"/>
        </w:rPr>
        <w:t xml:space="preserve">solo </w:t>
      </w:r>
      <w:r>
        <w:rPr>
          <w:rFonts w:eastAsia="Calibri" w:cs="Verdana"/>
          <w:bCs/>
          <w:color w:val="000000"/>
          <w:lang w:eastAsia="it-IT"/>
        </w:rPr>
        <w:t>nella fase di mantenimento</w:t>
      </w:r>
      <w:r w:rsidR="00D419A0">
        <w:rPr>
          <w:rFonts w:eastAsia="Calibri" w:cs="Verdana"/>
          <w:bCs/>
          <w:color w:val="000000"/>
          <w:lang w:eastAsia="it-IT"/>
        </w:rPr>
        <w:t xml:space="preserve"> (per la fase di attacco</w:t>
      </w:r>
      <w:r w:rsidR="00D419A0" w:rsidRPr="00D419A0">
        <w:rPr>
          <w:rFonts w:eastAsia="Calibri" w:cs="Verdana"/>
          <w:bCs/>
          <w:color w:val="000000"/>
          <w:lang w:eastAsia="it-IT"/>
        </w:rPr>
        <w:t xml:space="preserve"> deve essere somministrato un </w:t>
      </w:r>
      <w:r w:rsidR="00D419A0">
        <w:rPr>
          <w:rFonts w:eastAsia="Calibri" w:cs="Verdana"/>
          <w:bCs/>
          <w:color w:val="000000"/>
          <w:lang w:eastAsia="it-IT"/>
        </w:rPr>
        <w:t xml:space="preserve">altro </w:t>
      </w:r>
      <w:r w:rsidR="00D419A0" w:rsidRPr="00D419A0">
        <w:rPr>
          <w:rFonts w:eastAsia="Calibri" w:cs="Verdana"/>
          <w:bCs/>
          <w:color w:val="000000"/>
          <w:lang w:eastAsia="it-IT"/>
        </w:rPr>
        <w:t xml:space="preserve">medicinale a base di </w:t>
      </w:r>
      <w:proofErr w:type="spellStart"/>
      <w:r w:rsidR="00D419A0" w:rsidRPr="00D419A0">
        <w:rPr>
          <w:rFonts w:eastAsia="Calibri" w:cs="Verdana"/>
          <w:bCs/>
          <w:color w:val="000000"/>
          <w:lang w:eastAsia="it-IT"/>
        </w:rPr>
        <w:t>clodron</w:t>
      </w:r>
      <w:r w:rsidR="00D419A0">
        <w:rPr>
          <w:rFonts w:eastAsia="Calibri" w:cs="Verdana"/>
          <w:bCs/>
          <w:color w:val="000000"/>
          <w:lang w:eastAsia="it-IT"/>
        </w:rPr>
        <w:t>ato</w:t>
      </w:r>
      <w:proofErr w:type="spellEnd"/>
      <w:r w:rsidR="00D419A0" w:rsidRPr="00D419A0">
        <w:rPr>
          <w:rFonts w:eastAsia="Calibri" w:cs="Verdana"/>
          <w:bCs/>
          <w:color w:val="000000"/>
          <w:lang w:eastAsia="it-IT"/>
        </w:rPr>
        <w:t xml:space="preserve"> per infusione endovenosa</w:t>
      </w:r>
      <w:r w:rsidR="00D419A0">
        <w:rPr>
          <w:rFonts w:eastAsia="Calibri" w:cs="Verdana"/>
          <w:bCs/>
          <w:color w:val="000000"/>
          <w:lang w:eastAsia="it-IT"/>
        </w:rPr>
        <w:t xml:space="preserve">). </w:t>
      </w:r>
    </w:p>
    <w:p w:rsidR="009A3BA6" w:rsidRPr="009A3BA6" w:rsidRDefault="00D419A0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Sono previsti</w:t>
      </w:r>
      <w:r w:rsidR="009A3BA6" w:rsidRPr="009A3BA6">
        <w:rPr>
          <w:rFonts w:eastAsia="Calibri" w:cs="Verdana"/>
          <w:color w:val="000000"/>
          <w:lang w:eastAsia="it-IT"/>
        </w:rPr>
        <w:t xml:space="preserve"> cicli di trattamento </w:t>
      </w:r>
      <w:r>
        <w:rPr>
          <w:rFonts w:eastAsia="Calibri" w:cs="Verdana"/>
          <w:color w:val="000000"/>
          <w:lang w:eastAsia="it-IT"/>
        </w:rPr>
        <w:t xml:space="preserve">di </w:t>
      </w:r>
      <w:r w:rsidRPr="00D419A0">
        <w:rPr>
          <w:rFonts w:eastAsia="Calibri" w:cs="Verdana"/>
          <w:color w:val="000000"/>
          <w:lang w:eastAsia="it-IT"/>
        </w:rPr>
        <w:t xml:space="preserve">una fiala al giorno per 2-3 settimane </w:t>
      </w:r>
      <w:r>
        <w:rPr>
          <w:rFonts w:eastAsia="Calibri" w:cs="Verdana"/>
          <w:color w:val="000000"/>
          <w:lang w:eastAsia="it-IT"/>
        </w:rPr>
        <w:t xml:space="preserve">che </w:t>
      </w:r>
      <w:r w:rsidR="009A3BA6" w:rsidRPr="009A3BA6">
        <w:rPr>
          <w:rFonts w:eastAsia="Calibri" w:cs="Verdana"/>
          <w:color w:val="000000"/>
          <w:lang w:eastAsia="it-IT"/>
        </w:rPr>
        <w:t>possono essere ripetuti ad intervalli variabili a seconda dell’evoluzione della malattia.</w:t>
      </w:r>
    </w:p>
    <w:p w:rsidR="00D419A0" w:rsidRPr="00D419A0" w:rsidRDefault="00D419A0" w:rsidP="00D41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bCs/>
          <w:color w:val="000000"/>
          <w:u w:val="single"/>
          <w:lang w:eastAsia="it-IT"/>
        </w:rPr>
        <w:t>Per la p</w:t>
      </w:r>
      <w:r w:rsidR="009A3BA6" w:rsidRPr="00D419A0">
        <w:rPr>
          <w:rFonts w:eastAsia="Calibri" w:cs="Verdana"/>
          <w:bCs/>
          <w:color w:val="000000"/>
          <w:u w:val="single"/>
          <w:lang w:eastAsia="it-IT"/>
        </w:rPr>
        <w:t xml:space="preserve">revenzione e trattamento dell'osteoporosi post </w:t>
      </w:r>
      <w:proofErr w:type="spellStart"/>
      <w:r w:rsidR="009A3BA6" w:rsidRPr="00D419A0">
        <w:rPr>
          <w:rFonts w:eastAsia="Calibri" w:cs="Verdana"/>
          <w:bCs/>
          <w:color w:val="000000"/>
          <w:u w:val="single"/>
          <w:lang w:eastAsia="it-IT"/>
        </w:rPr>
        <w:t>menopausale</w:t>
      </w:r>
      <w:proofErr w:type="spellEnd"/>
      <w:r w:rsidR="00070A74">
        <w:rPr>
          <w:rFonts w:eastAsia="Calibri" w:cs="Verdana"/>
          <w:bCs/>
          <w:color w:val="000000"/>
          <w:u w:val="single"/>
          <w:lang w:eastAsia="it-IT"/>
        </w:rPr>
        <w:t xml:space="preserve"> </w:t>
      </w:r>
      <w:r w:rsidRPr="00D419A0">
        <w:rPr>
          <w:rFonts w:eastAsia="Calibri" w:cs="Verdana"/>
          <w:color w:val="000000"/>
          <w:lang w:eastAsia="it-IT"/>
        </w:rPr>
        <w:t>è prevista una fiala da 100 mg</w:t>
      </w:r>
      <w:r w:rsidR="009A3BA6" w:rsidRPr="00D419A0">
        <w:rPr>
          <w:rFonts w:eastAsia="Calibri" w:cs="Verdana"/>
          <w:color w:val="000000"/>
          <w:lang w:eastAsia="it-IT"/>
        </w:rPr>
        <w:t xml:space="preserve"> ogni 7-14 giorni, per 1 a</w:t>
      </w:r>
      <w:r w:rsidR="009A3BA6" w:rsidRPr="009A3BA6">
        <w:rPr>
          <w:rFonts w:eastAsia="Calibri" w:cs="Verdana"/>
          <w:color w:val="000000"/>
          <w:lang w:eastAsia="it-IT"/>
        </w:rPr>
        <w:t>nno o più a second</w:t>
      </w:r>
      <w:r>
        <w:rPr>
          <w:rFonts w:eastAsia="Calibri" w:cs="Verdana"/>
          <w:color w:val="000000"/>
          <w:lang w:eastAsia="it-IT"/>
        </w:rPr>
        <w:t>a delle condizioni del paziente oppure una fiala da</w:t>
      </w:r>
      <w:r w:rsidRPr="00D419A0">
        <w:rPr>
          <w:rFonts w:eastAsia="Calibri" w:cs="Verdana"/>
          <w:color w:val="000000"/>
          <w:lang w:eastAsia="it-IT"/>
        </w:rPr>
        <w:t xml:space="preserve"> 200 mg ogni 14-28 giorni, per 1 anno o più a seconda delle condizioni del paziente.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7D0E" w:rsidRPr="00502AB1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B5DF8" w:rsidRPr="006B5DF8" w:rsidRDefault="006C7A1A" w:rsidP="006B5DF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ACIDO CLODRONICO DOC GENERICI</w:t>
      </w:r>
      <w:r w:rsidR="00502AB1" w:rsidRPr="00502AB1">
        <w:rPr>
          <w:snapToGrid w:val="0"/>
        </w:rPr>
        <w:t xml:space="preserve">, il cui codice ATC è </w:t>
      </w:r>
      <w:r w:rsidR="00D419A0" w:rsidRPr="00D419A0">
        <w:t>M05BA02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 principi attiv</w:t>
      </w:r>
      <w:r w:rsidR="00D419A0">
        <w:rPr>
          <w:rFonts w:eastAsia="Calibri" w:cs="Calibri"/>
          <w:color w:val="000000"/>
          <w:lang w:eastAsia="it-IT"/>
        </w:rPr>
        <w:t>i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19A0">
        <w:rPr>
          <w:rFonts w:eastAsia="Calibri" w:cs="Calibri"/>
          <w:color w:val="000000"/>
          <w:lang w:eastAsia="it-IT"/>
        </w:rPr>
        <w:t>clodronato</w:t>
      </w:r>
      <w:proofErr w:type="spellEnd"/>
      <w:r w:rsidR="00D419A0">
        <w:rPr>
          <w:rFonts w:eastAsia="Calibri" w:cs="Calibri"/>
          <w:color w:val="000000"/>
          <w:lang w:eastAsia="it-IT"/>
        </w:rPr>
        <w:t xml:space="preserve"> sodico e lidocaina. </w:t>
      </w:r>
      <w:r w:rsidR="00D419A0">
        <w:t xml:space="preserve"> Il </w:t>
      </w:r>
      <w:proofErr w:type="spellStart"/>
      <w:r w:rsidR="00D419A0">
        <w:t>clodronato</w:t>
      </w:r>
      <w:proofErr w:type="spellEnd"/>
      <w:r w:rsidR="00D419A0">
        <w:t xml:space="preserve"> sodico </w:t>
      </w:r>
      <w:r w:rsidR="006B5DF8" w:rsidRPr="006B5DF8">
        <w:t xml:space="preserve">appartiene ad un gruppo di farmaci per il trattamento delle malattie delle ossa, chiamati </w:t>
      </w:r>
      <w:proofErr w:type="spellStart"/>
      <w:r w:rsidR="006B5DF8" w:rsidRPr="006B5DF8">
        <w:t>bifosfonati</w:t>
      </w:r>
      <w:proofErr w:type="spellEnd"/>
      <w:r w:rsidR="006B5DF8" w:rsidRPr="006B5DF8">
        <w:t>.</w:t>
      </w:r>
    </w:p>
    <w:p w:rsidR="00F01FB3" w:rsidRPr="006B5DF8" w:rsidRDefault="00D419A0" w:rsidP="00D41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5DF8">
        <w:rPr>
          <w:rFonts w:eastAsia="Calibri" w:cs="Calibri"/>
          <w:color w:val="000000"/>
          <w:lang w:eastAsia="it-IT"/>
        </w:rPr>
        <w:t xml:space="preserve">La lidocaina </w:t>
      </w:r>
      <w:r w:rsidR="006B5DF8" w:rsidRPr="006B5DF8">
        <w:rPr>
          <w:rFonts w:eastAsia="Calibri" w:cs="Calibri"/>
          <w:color w:val="000000"/>
          <w:lang w:eastAsia="it-IT"/>
        </w:rPr>
        <w:t>è un anestetico locale che consente di ridurre i sintomi dolorifici associati alla somministrazione del medicinale.</w:t>
      </w:r>
      <w:r w:rsidR="00594CD5" w:rsidRPr="006B5DF8">
        <w:rPr>
          <w:rFonts w:eastAsia="Calibri" w:cs="Calibri"/>
          <w:color w:val="000000"/>
          <w:lang w:eastAsia="it-IT"/>
        </w:rPr>
        <w:t xml:space="preserve"> </w:t>
      </w:r>
      <w:r w:rsidRPr="006B5DF8">
        <w:rPr>
          <w:rFonts w:eastAsia="Calibri" w:cs="Calibri"/>
          <w:color w:val="000000"/>
          <w:lang w:eastAsia="it-IT"/>
        </w:rPr>
        <w:t xml:space="preserve"> </w:t>
      </w:r>
    </w:p>
    <w:p w:rsidR="00594CD5" w:rsidRPr="00502AB1" w:rsidRDefault="00594CD5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>ed è somministrato</w:t>
      </w:r>
      <w:r w:rsidR="006B5DF8">
        <w:rPr>
          <w:rFonts w:cs="Arial"/>
        </w:rPr>
        <w:t xml:space="preserve"> come soluzione iniettabile </w:t>
      </w:r>
      <w:r w:rsidR="006B5DF8" w:rsidRPr="006B5DF8">
        <w:rPr>
          <w:rFonts w:cs="Arial"/>
        </w:rPr>
        <w:t xml:space="preserve">per via </w:t>
      </w:r>
      <w:r w:rsidR="006B5DF8">
        <w:rPr>
          <w:rFonts w:cs="Arial"/>
        </w:rPr>
        <w:t>intra</w:t>
      </w:r>
      <w:r w:rsidR="006B5DF8" w:rsidRPr="006B5DF8">
        <w:rPr>
          <w:rFonts w:cs="Arial"/>
        </w:rPr>
        <w:t>muscolare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6C7A1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312EE">
        <w:rPr>
          <w:rFonts w:eastAsia="Calibri" w:cs="Calibri"/>
          <w:lang w:eastAsia="it-IT"/>
        </w:rPr>
        <w:t xml:space="preserve">La Commissione Tecnico Scientifica (CTS), nella seduta del </w:t>
      </w:r>
      <w:r w:rsidR="00C55B9A">
        <w:rPr>
          <w:rFonts w:ascii="Calibri" w:eastAsia="Calibri" w:hAnsi="Calibri" w:cs="Times New Roman"/>
        </w:rPr>
        <w:t>17, 18 e 19 gennaio 2018</w:t>
      </w:r>
      <w:r w:rsidR="005B446C" w:rsidRPr="006312EE">
        <w:rPr>
          <w:rFonts w:eastAsia="Calibri" w:cs="Calibri"/>
          <w:lang w:eastAsia="it-IT"/>
        </w:rPr>
        <w:t xml:space="preserve"> </w:t>
      </w:r>
      <w:r w:rsidRPr="006312EE">
        <w:rPr>
          <w:rFonts w:eastAsia="Calibri" w:cs="Calibri"/>
          <w:lang w:eastAsia="it-IT"/>
        </w:rPr>
        <w:t>ha concluso che,</w:t>
      </w:r>
      <w:r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6B5DF8">
        <w:rPr>
          <w:rFonts w:eastAsia="Calibri" w:cs="Calibri"/>
          <w:lang w:eastAsia="it-IT"/>
        </w:rPr>
        <w:t>Clasteon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590665">
        <w:rPr>
          <w:rFonts w:eastAsia="Calibri" w:cs="Calibri"/>
          <w:lang w:eastAsia="it-IT"/>
        </w:rPr>
        <w:t>(</w:t>
      </w:r>
      <w:r w:rsidR="00070A74">
        <w:rPr>
          <w:rFonts w:eastAsia="Calibri" w:cs="Calibri"/>
          <w:lang w:eastAsia="it-IT"/>
        </w:rPr>
        <w:t>C</w:t>
      </w:r>
      <w:r w:rsidR="007935FE" w:rsidRPr="00590665">
        <w:rPr>
          <w:rFonts w:eastAsia="Calibri" w:cs="Calibri"/>
          <w:lang w:eastAsia="it-IT"/>
        </w:rPr>
        <w:t>)</w:t>
      </w:r>
      <w:r w:rsidRPr="00590665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r w:rsidR="006C7A1A">
        <w:rPr>
          <w:rFonts w:eastAsia="Calibri" w:cs="Calibri"/>
          <w:b/>
          <w:color w:val="000000"/>
          <w:lang w:eastAsia="it-IT"/>
        </w:rPr>
        <w:t>ACIDO CLODRONICO DOC GENERICI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 </w:t>
      </w:r>
      <w:r w:rsidR="007C2966">
        <w:rPr>
          <w:rFonts w:eastAsia="Calibri" w:cs="Calibri"/>
          <w:bCs/>
          <w:iCs/>
          <w:lang w:eastAsia="it-IT"/>
        </w:rPr>
        <w:t>Il 13/07/2018 l’</w:t>
      </w:r>
      <w:r w:rsidRPr="00B32D81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lastRenderedPageBreak/>
        <w:t xml:space="preserve">Per maggiori informazioni riguardo il trattamento con </w:t>
      </w:r>
      <w:r w:rsidR="006C7A1A">
        <w:rPr>
          <w:rFonts w:eastAsia="Calibri" w:cs="Calibri"/>
          <w:color w:val="000000"/>
          <w:lang w:eastAsia="it-IT"/>
        </w:rPr>
        <w:t>ACIDO CLODRONICO DOC GENERICI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070A74">
        <w:rPr>
          <w:rFonts w:eastAsia="Calibri" w:cs="Calibri"/>
          <w:lang w:eastAsia="it-IT"/>
        </w:rPr>
        <w:t>20</w:t>
      </w:r>
      <w:r w:rsidR="00C55B9A">
        <w:rPr>
          <w:rFonts w:eastAsia="Calibri" w:cs="Calibri"/>
          <w:lang w:eastAsia="it-IT"/>
        </w:rPr>
        <w:t>/12/2018.</w:t>
      </w: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70A74" w:rsidRPr="00B32D81" w:rsidRDefault="00070A74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B12739" w:rsidRDefault="00B12739" w:rsidP="00B32D81">
      <w:pPr>
        <w:spacing w:after="0" w:line="240" w:lineRule="auto"/>
      </w:pPr>
    </w:p>
    <w:p w:rsidR="00B12739" w:rsidRDefault="00B12739" w:rsidP="00B32D81">
      <w:pPr>
        <w:spacing w:after="0" w:line="240" w:lineRule="auto"/>
      </w:pPr>
    </w:p>
    <w:p w:rsidR="00B12739" w:rsidRDefault="00B12739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>Sulla base dei dati di qualità, sicurezza ed efficacia,</w:t>
      </w:r>
      <w:r w:rsidR="00623B50">
        <w:t xml:space="preserve"> il 13/07/2018</w:t>
      </w:r>
      <w:r w:rsidRPr="00B32D81">
        <w:t xml:space="preserve"> l’AIFA ha rilasciato </w:t>
      </w:r>
      <w:r w:rsidRPr="00293095">
        <w:t xml:space="preserve">a </w:t>
      </w:r>
      <w:r w:rsidR="004261A5" w:rsidRPr="004261A5">
        <w:t>DOC GENERICI</w:t>
      </w:r>
      <w:r w:rsidR="00B35BAB" w:rsidRPr="00B35BAB">
        <w:t xml:space="preserve"> </w:t>
      </w:r>
      <w:proofErr w:type="spellStart"/>
      <w:r w:rsidR="00B35BAB" w:rsidRPr="00B35BAB">
        <w:t>S.R.L.</w:t>
      </w:r>
      <w:proofErr w:type="spellEnd"/>
      <w:r w:rsidR="00B35BAB">
        <w:t xml:space="preserve">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6C7A1A">
        <w:t>ACIDO CLODRONICO DOC GENERICI</w:t>
      </w:r>
      <w:r w:rsidR="00A719C2">
        <w:t>.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6C7A1A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 xml:space="preserve">dell’art. </w:t>
      </w:r>
      <w:r w:rsidR="00FF53CA" w:rsidRPr="00293095">
        <w:t>10(1)</w:t>
      </w:r>
      <w:r w:rsidRPr="00293095">
        <w:t xml:space="preserve"> della Direttiva</w:t>
      </w:r>
      <w:r w:rsidRPr="00502AB1">
        <w:t xml:space="preserve">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12522" w:rsidRPr="00512522" w:rsidRDefault="006C7A1A" w:rsidP="00512522">
      <w:pPr>
        <w:widowControl w:val="0"/>
        <w:spacing w:after="0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ACIDO CLODRONICO DOC GENERICI</w:t>
      </w:r>
      <w:r w:rsidR="00D97736">
        <w:rPr>
          <w:rFonts w:eastAsia="Calibri" w:cs="Calibri"/>
          <w:bCs/>
          <w:color w:val="000000"/>
          <w:lang w:eastAsia="it-IT"/>
        </w:rPr>
        <w:t xml:space="preserve"> 1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00 </w:t>
      </w:r>
      <w:r w:rsidR="00D97736">
        <w:rPr>
          <w:rFonts w:eastAsia="Calibri" w:cs="Calibri"/>
          <w:bCs/>
          <w:i/>
          <w:color w:val="000000"/>
          <w:lang w:eastAsia="it-IT"/>
        </w:rPr>
        <w:t>mg/3,3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 ml soluzione iniettabile per uso intramuscolare</w:t>
      </w:r>
      <w:r w:rsidR="00D97736" w:rsidRPr="00D97736">
        <w:rPr>
          <w:rFonts w:eastAsia="Calibri" w:cs="Calibri"/>
          <w:b/>
          <w:bCs/>
          <w:i/>
          <w:color w:val="000000"/>
          <w:lang w:eastAsia="it-IT"/>
        </w:rPr>
        <w:t xml:space="preserve"> 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con lidocaina 1 % </w:t>
      </w:r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>è un m</w:t>
      </w:r>
      <w:r w:rsidR="00B35BAB">
        <w:rPr>
          <w:rFonts w:eastAsia="Calibri" w:cs="Calibri"/>
          <w:color w:val="000000"/>
          <w:lang w:eastAsia="it-IT"/>
        </w:rPr>
        <w:t>edicinale generico contenente i principi</w:t>
      </w:r>
      <w:r w:rsidR="007C68D2" w:rsidRPr="00502AB1">
        <w:rPr>
          <w:rFonts w:eastAsia="Calibri" w:cs="Calibri"/>
          <w:color w:val="000000"/>
          <w:lang w:eastAsia="it-IT"/>
        </w:rPr>
        <w:t xml:space="preserve"> attiv</w:t>
      </w:r>
      <w:r w:rsidR="00B35BAB">
        <w:rPr>
          <w:rFonts w:eastAsia="Calibri" w:cs="Calibri"/>
          <w:color w:val="000000"/>
          <w:lang w:eastAsia="it-IT"/>
        </w:rPr>
        <w:t>i</w:t>
      </w:r>
      <w:r w:rsidR="00512522" w:rsidRPr="00512522">
        <w:rPr>
          <w:rFonts w:ascii="Calibri" w:hAnsi="Calibri"/>
          <w:b/>
          <w:i/>
          <w:spacing w:val="-1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tetraidrato</w:t>
      </w:r>
      <w:proofErr w:type="spellEnd"/>
      <w:r w:rsidR="00512522">
        <w:rPr>
          <w:rFonts w:eastAsia="Calibri" w:cs="Calibri"/>
          <w:color w:val="000000"/>
          <w:lang w:eastAsia="it-IT"/>
        </w:rPr>
        <w:t xml:space="preserve"> (equivalente</w:t>
      </w:r>
      <w:r w:rsidR="00512522" w:rsidRPr="00512522">
        <w:rPr>
          <w:rFonts w:eastAsia="Calibri" w:cs="Calibri"/>
          <w:color w:val="000000"/>
          <w:lang w:eastAsia="it-IT"/>
        </w:rPr>
        <w:t xml:space="preserve"> a 100 mg di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>) e 33 mg di lidocaina cloridrato.</w:t>
      </w:r>
    </w:p>
    <w:p w:rsidR="00512522" w:rsidRPr="00512522" w:rsidRDefault="006C7A1A" w:rsidP="0051252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ACIDO CLODRONICO DOC GENERICI</w:t>
      </w:r>
      <w:r w:rsidR="00512522" w:rsidRPr="00512522">
        <w:rPr>
          <w:rFonts w:eastAsia="Calibri" w:cs="Calibri"/>
          <w:bCs/>
          <w:i/>
          <w:color w:val="000000"/>
          <w:lang w:eastAsia="it-IT"/>
        </w:rPr>
        <w:t xml:space="preserve"> 200 mg/4 ml soluzione iniettabile per uso intramuscolare</w:t>
      </w:r>
      <w:r w:rsidR="00512522" w:rsidRPr="00512522">
        <w:rPr>
          <w:rFonts w:eastAsia="Calibri" w:cs="Calibri"/>
          <w:b/>
          <w:bCs/>
          <w:i/>
          <w:color w:val="000000"/>
          <w:lang w:eastAsia="it-IT"/>
        </w:rPr>
        <w:t xml:space="preserve"> </w:t>
      </w:r>
      <w:r w:rsidR="00512522" w:rsidRPr="00512522">
        <w:rPr>
          <w:rFonts w:eastAsia="Calibri" w:cs="Calibri"/>
          <w:bCs/>
          <w:i/>
          <w:color w:val="000000"/>
          <w:lang w:eastAsia="it-IT"/>
        </w:rPr>
        <w:t xml:space="preserve">con lidocaina 1 % </w:t>
      </w:r>
      <w:r w:rsidR="00D97736" w:rsidRPr="00D97736">
        <w:rPr>
          <w:rFonts w:eastAsia="Calibri" w:cs="Calibri"/>
          <w:bCs/>
          <w:color w:val="000000"/>
          <w:lang w:eastAsia="it-IT"/>
        </w:rPr>
        <w:t>è un medicinale generico contenente i principi attivi</w:t>
      </w:r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tetraidrato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(equivalenti a 200 mg di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bCs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bCs/>
          <w:color w:val="000000"/>
          <w:lang w:eastAsia="it-IT"/>
        </w:rPr>
        <w:t>) e 40 mg di lidocaina cloridrato.</w:t>
      </w:r>
    </w:p>
    <w:p w:rsidR="00D97736" w:rsidRDefault="006C7A1A" w:rsidP="00594C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594CD5" w:rsidRPr="00502AB1">
        <w:rPr>
          <w:snapToGrid w:val="0"/>
        </w:rPr>
        <w:t xml:space="preserve">, il cui codice ATC è </w:t>
      </w:r>
      <w:r w:rsidR="00D97736" w:rsidRPr="006E58E6">
        <w:rPr>
          <w:rFonts w:ascii="Calibri" w:hAnsi="Calibri" w:cs="Times New Roman"/>
          <w:spacing w:val="-1"/>
        </w:rPr>
        <w:t>M05BA02</w:t>
      </w:r>
      <w:r w:rsidR="00D97736">
        <w:rPr>
          <w:rFonts w:ascii="Calibri" w:hAnsi="Calibri" w:cs="Times New Roman"/>
          <w:spacing w:val="-1"/>
        </w:rPr>
        <w:t>,</w:t>
      </w:r>
      <w:r w:rsidR="00594CD5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594CD5" w:rsidRPr="00502AB1">
        <w:rPr>
          <w:rFonts w:eastAsia="Calibri" w:cs="Calibri"/>
          <w:color w:val="000000"/>
          <w:lang w:eastAsia="it-IT"/>
        </w:rPr>
        <w:t>contiene i principi attiv</w:t>
      </w:r>
      <w:r w:rsidR="00B35BAB">
        <w:rPr>
          <w:rFonts w:eastAsia="Calibri" w:cs="Calibri"/>
          <w:color w:val="000000"/>
          <w:lang w:eastAsia="it-IT"/>
        </w:rPr>
        <w:t>i</w:t>
      </w:r>
      <w:r w:rsidR="00594CD5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97736">
        <w:rPr>
          <w:rFonts w:eastAsia="Calibri" w:cs="Calibri"/>
          <w:color w:val="000000"/>
          <w:lang w:eastAsia="it-IT"/>
        </w:rPr>
        <w:t>clodronato</w:t>
      </w:r>
      <w:proofErr w:type="spellEnd"/>
      <w:r w:rsidR="00D9773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97736">
        <w:rPr>
          <w:rFonts w:eastAsia="Calibri" w:cs="Calibri"/>
          <w:color w:val="000000"/>
          <w:lang w:eastAsia="it-IT"/>
        </w:rPr>
        <w:t>disodico</w:t>
      </w:r>
      <w:proofErr w:type="spellEnd"/>
      <w:r w:rsidR="00D97736">
        <w:rPr>
          <w:rFonts w:eastAsia="Calibri" w:cs="Calibri"/>
          <w:color w:val="000000"/>
          <w:lang w:eastAsia="it-IT"/>
        </w:rPr>
        <w:t xml:space="preserve"> e lidocaina.</w:t>
      </w:r>
    </w:p>
    <w:p w:rsidR="00D97736" w:rsidRDefault="00D97736" w:rsidP="00D977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Il </w:t>
      </w:r>
      <w:proofErr w:type="spellStart"/>
      <w:r>
        <w:rPr>
          <w:rFonts w:eastAsia="Calibri" w:cs="Calibri"/>
          <w:color w:val="000000"/>
          <w:lang w:eastAsia="it-IT"/>
        </w:rPr>
        <w:t>clodronato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disodico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D97736">
        <w:rPr>
          <w:rFonts w:eastAsia="Calibri" w:cs="Calibri"/>
          <w:color w:val="000000"/>
          <w:lang w:eastAsia="it-IT"/>
        </w:rPr>
        <w:t xml:space="preserve">appartiene alla categoria dei </w:t>
      </w:r>
      <w:proofErr w:type="spellStart"/>
      <w:r w:rsidRPr="00D97736">
        <w:rPr>
          <w:rFonts w:eastAsia="Calibri" w:cs="Calibri"/>
          <w:color w:val="000000"/>
          <w:lang w:eastAsia="it-IT"/>
        </w:rPr>
        <w:t>bifosfonati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, farmaci in grado di inibire la formazione e la dissoluzione dei cristalli di </w:t>
      </w:r>
      <w:proofErr w:type="spellStart"/>
      <w:r w:rsidRPr="00D97736">
        <w:rPr>
          <w:rFonts w:eastAsia="Calibri" w:cs="Calibri"/>
          <w:color w:val="000000"/>
          <w:lang w:eastAsia="it-IT"/>
        </w:rPr>
        <w:t>idrossiapatite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. </w:t>
      </w:r>
      <w:r>
        <w:rPr>
          <w:rFonts w:eastAsia="Calibri" w:cs="Calibri"/>
          <w:color w:val="000000"/>
          <w:lang w:eastAsia="it-IT"/>
        </w:rPr>
        <w:t xml:space="preserve">Il </w:t>
      </w:r>
      <w:proofErr w:type="spellStart"/>
      <w:r w:rsidRPr="00D97736">
        <w:rPr>
          <w:rFonts w:eastAsia="Calibri" w:cs="Calibri"/>
          <w:color w:val="000000"/>
          <w:lang w:eastAsia="it-IT"/>
        </w:rPr>
        <w:t>clodronato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ha un</w:t>
      </w:r>
      <w:r w:rsidRPr="00D97736">
        <w:rPr>
          <w:rFonts w:eastAsia="Calibri" w:cs="Calibri"/>
          <w:color w:val="000000"/>
          <w:lang w:eastAsia="it-IT"/>
        </w:rPr>
        <w:t xml:space="preserve"> effetto inibitorio sul riassorbimento osseo, conseguente alla inibizione</w:t>
      </w:r>
      <w:r>
        <w:rPr>
          <w:rFonts w:eastAsia="Calibri" w:cs="Calibri"/>
          <w:color w:val="000000"/>
          <w:lang w:eastAsia="it-IT"/>
        </w:rPr>
        <w:t xml:space="preserve"> </w:t>
      </w:r>
      <w:r w:rsidRPr="00D97736">
        <w:rPr>
          <w:rFonts w:eastAsia="Calibri" w:cs="Calibri"/>
          <w:color w:val="000000"/>
          <w:lang w:eastAsia="it-IT"/>
        </w:rPr>
        <w:t xml:space="preserve">dell'attività </w:t>
      </w:r>
      <w:proofErr w:type="spellStart"/>
      <w:r w:rsidRPr="00D97736">
        <w:rPr>
          <w:rFonts w:eastAsia="Calibri" w:cs="Calibri"/>
          <w:color w:val="000000"/>
          <w:lang w:eastAsia="it-IT"/>
        </w:rPr>
        <w:t>osteoclastica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, in tutte le condizioni sperimentali e cliniche nelle quali questo risulti esageratamente aumentato. Tra queste condizioni vanno annoverate affezioni di tipo neoplastico quali le metastasi ossee e il mieloma multiplo, </w:t>
      </w:r>
      <w:proofErr w:type="spellStart"/>
      <w:r w:rsidRPr="00D97736">
        <w:rPr>
          <w:rFonts w:eastAsia="Calibri" w:cs="Calibri"/>
          <w:color w:val="000000"/>
          <w:lang w:eastAsia="it-IT"/>
        </w:rPr>
        <w:t>endocrinopatie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quali l'</w:t>
      </w:r>
      <w:proofErr w:type="spellStart"/>
      <w:r w:rsidRPr="00D97736">
        <w:rPr>
          <w:rFonts w:eastAsia="Calibri" w:cs="Calibri"/>
          <w:color w:val="000000"/>
          <w:lang w:eastAsia="it-IT"/>
        </w:rPr>
        <w:t>iperparatiroidismo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primario, nonché le osteopatie metaboliche quali l'</w:t>
      </w:r>
      <w:proofErr w:type="spellStart"/>
      <w:r w:rsidRPr="00D97736">
        <w:rPr>
          <w:rFonts w:eastAsia="Calibri" w:cs="Calibri"/>
          <w:color w:val="000000"/>
          <w:lang w:eastAsia="it-IT"/>
        </w:rPr>
        <w:t>osteopenia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da immobilizzazione e, in particolar modo, l'osteoporosi post </w:t>
      </w:r>
      <w:proofErr w:type="spellStart"/>
      <w:r w:rsidRPr="00D97736">
        <w:rPr>
          <w:rFonts w:eastAsia="Calibri" w:cs="Calibri"/>
          <w:color w:val="000000"/>
          <w:lang w:eastAsia="it-IT"/>
        </w:rPr>
        <w:t>menopausale</w:t>
      </w:r>
      <w:proofErr w:type="spellEnd"/>
      <w:r w:rsidRPr="00D97736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</w:t>
      </w:r>
    </w:p>
    <w:p w:rsidR="00D97736" w:rsidRPr="00D97736" w:rsidRDefault="00D97736" w:rsidP="00D977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 lidocaina cloridrato è un anestetico locale e ha l’effetto di ridurre la sintomatologia dolorosa associata alla somministrazione del medicinale.  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CE5C72" w:rsidRDefault="006C7A1A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>è utilizzato per</w:t>
      </w:r>
      <w:r w:rsidR="00CE5C72">
        <w:rPr>
          <w:rFonts w:eastAsia="Calibri" w:cs="Calibri"/>
          <w:color w:val="000000"/>
          <w:lang w:eastAsia="it-IT"/>
        </w:rPr>
        <w:t>: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proofErr w:type="spellStart"/>
      <w:r w:rsidRPr="00512522">
        <w:t>Osteolisi</w:t>
      </w:r>
      <w:proofErr w:type="spellEnd"/>
      <w:r w:rsidRPr="00512522">
        <w:t xml:space="preserve"> tumorali.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r w:rsidRPr="00512522">
        <w:t>Mieloma multiplo.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proofErr w:type="spellStart"/>
      <w:r w:rsidRPr="00512522">
        <w:t>Iperparatiroidismo</w:t>
      </w:r>
      <w:proofErr w:type="spellEnd"/>
      <w:r w:rsidRPr="00512522">
        <w:t xml:space="preserve"> primario.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r w:rsidRPr="00512522">
        <w:t xml:space="preserve">Prevenzione e trattamento dell'osteoporosi post </w:t>
      </w:r>
      <w:proofErr w:type="spellStart"/>
      <w:r w:rsidRPr="00512522">
        <w:t>menopausale</w:t>
      </w:r>
      <w:proofErr w:type="spellEnd"/>
      <w:r w:rsidRPr="00512522">
        <w:t>.</w:t>
      </w:r>
    </w:p>
    <w:p w:rsidR="001C7AD0" w:rsidRPr="00502AB1" w:rsidRDefault="001C7AD0" w:rsidP="001C7AD0">
      <w:pPr>
        <w:pStyle w:val="Paragrafoelenco"/>
        <w:spacing w:after="0" w:line="240" w:lineRule="auto"/>
        <w:ind w:left="142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r w:rsidR="006C7A1A">
        <w:t>ACIDO CLODRONICO DOC GENERICI</w:t>
      </w:r>
      <w:r w:rsidRPr="00502AB1">
        <w:t xml:space="preserve"> 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B35BAB">
        <w:t>Clasteon</w:t>
      </w:r>
      <w:proofErr w:type="spellEnd"/>
      <w:r w:rsidRPr="00502AB1">
        <w:t xml:space="preserve"> è autorizzato in Italia da oltre 10 anni</w:t>
      </w:r>
      <w:r w:rsidR="007935FE" w:rsidRPr="00502AB1">
        <w:t xml:space="preserve">; poiché </w:t>
      </w:r>
      <w:r w:rsidR="006C7A1A">
        <w:t>ACIDO CLODRONICO DOC GENERICI</w:t>
      </w:r>
      <w:r w:rsidR="007935FE" w:rsidRPr="00502AB1">
        <w:t xml:space="preserve"> </w:t>
      </w:r>
      <w:r w:rsidR="007935FE" w:rsidRPr="00502AB1">
        <w:rPr>
          <w:rFonts w:cs="Arial"/>
        </w:rPr>
        <w:t xml:space="preserve">è somministrato </w:t>
      </w:r>
      <w:r w:rsidR="007935FE" w:rsidRPr="00032587">
        <w:rPr>
          <w:rFonts w:cs="Arial"/>
        </w:rPr>
        <w:t xml:space="preserve">come </w:t>
      </w:r>
      <w:r w:rsidR="00B35BAB">
        <w:rPr>
          <w:rFonts w:cs="Arial"/>
        </w:rPr>
        <w:t>soluzione iniettabile per via intramuscolare</w:t>
      </w:r>
      <w:r w:rsidR="00FF53CA" w:rsidRPr="00032587">
        <w:rPr>
          <w:rFonts w:cs="Arial"/>
        </w:rPr>
        <w:t>,</w:t>
      </w:r>
      <w:r w:rsidR="007935FE" w:rsidRPr="00032587">
        <w:rPr>
          <w:rFonts w:cs="Arial"/>
        </w:rPr>
        <w:t xml:space="preserve"> è stata concessa</w:t>
      </w:r>
      <w:r w:rsidR="007935FE" w:rsidRPr="00502AB1">
        <w:rPr>
          <w:rFonts w:cs="Arial"/>
        </w:rPr>
        <w:t xml:space="preserve">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r w:rsidR="006C7A1A">
        <w:t>ACIDO CLODRONICO DOC GENERICI</w:t>
      </w:r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00116B" w:rsidRDefault="0000116B" w:rsidP="00B32D81">
      <w:pPr>
        <w:spacing w:after="0" w:line="240" w:lineRule="auto"/>
        <w:jc w:val="both"/>
        <w:rPr>
          <w:b/>
        </w:rPr>
      </w:pP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  <w:r w:rsidR="00E752F3">
        <w:rPr>
          <w:b/>
        </w:rPr>
        <w:t>CLODRONATO DISODICO TETRAIDRATO</w:t>
      </w:r>
    </w:p>
    <w:p w:rsidR="00700F7D" w:rsidRDefault="007C68D2" w:rsidP="00700F7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r w:rsidRPr="006312EE">
        <w:rPr>
          <w:u w:val="single"/>
        </w:rPr>
        <w:t>Nome chimico</w:t>
      </w:r>
      <w:r w:rsidRPr="006312EE">
        <w:t xml:space="preserve">: </w:t>
      </w:r>
      <w:r w:rsidR="00700F7D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>disodium;[dichloro-[hydroxy(oxido)phosphoryl]methyl]-hydroxyphosphinate;tetrahydrate</w:t>
      </w:r>
    </w:p>
    <w:p w:rsidR="00700F7D" w:rsidRDefault="007C68D2" w:rsidP="00700F7D">
      <w:pPr>
        <w:autoSpaceDE w:val="0"/>
        <w:autoSpaceDN w:val="0"/>
        <w:adjustRightInd w:val="0"/>
        <w:spacing w:after="0" w:line="240" w:lineRule="auto"/>
        <w:rPr>
          <w:b/>
        </w:rPr>
      </w:pPr>
      <w:r w:rsidRPr="006312EE">
        <w:rPr>
          <w:u w:val="single"/>
        </w:rPr>
        <w:t>Struttura</w:t>
      </w:r>
      <w:r w:rsidRPr="006312EE">
        <w:t>:</w:t>
      </w:r>
      <w:r w:rsidR="00700F7D" w:rsidRPr="00700F7D">
        <w:rPr>
          <w:b/>
        </w:rPr>
        <w:t xml:space="preserve"> </w:t>
      </w:r>
    </w:p>
    <w:p w:rsidR="00B12DF7" w:rsidRDefault="00B12DF7" w:rsidP="00700F7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B12DF7" w:rsidRPr="00B12DF7" w:rsidRDefault="00B12DF7" w:rsidP="00B12DF7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720215" cy="667385"/>
            <wp:effectExtent l="19050" t="0" r="0" b="0"/>
            <wp:docPr id="9" name="Immagine 9" descr="P:\_dp\905\XML-IN\Images\CF1777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:\_dp\905\XML-IN\Images\CF1777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66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6312EE" w:rsidRDefault="00E14380" w:rsidP="00700F7D">
      <w:pPr>
        <w:pStyle w:val="Titolo1"/>
        <w:shd w:val="clear" w:color="auto" w:fill="FFFFFF"/>
        <w:spacing w:before="0" w:beforeAutospacing="0" w:after="0" w:afterAutospacing="0"/>
        <w:contextualSpacing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</w:p>
    <w:p w:rsidR="00B12DF7" w:rsidRDefault="00700F7D" w:rsidP="00B12DF7">
      <w:pPr>
        <w:pStyle w:val="Titolo1"/>
        <w:contextualSpacing/>
        <w:rPr>
          <w:rFonts w:asciiTheme="minorHAnsi" w:hAnsiTheme="minorHAnsi" w:cs="Arial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  <w:u w:val="single"/>
        </w:rPr>
        <w:t>F</w:t>
      </w:r>
      <w:r w:rsidR="00E14380" w:rsidRPr="006312EE">
        <w:rPr>
          <w:rFonts w:asciiTheme="minorHAnsi" w:hAnsiTheme="minorHAnsi"/>
          <w:b w:val="0"/>
          <w:sz w:val="22"/>
          <w:szCs w:val="22"/>
          <w:u w:val="single"/>
        </w:rPr>
        <w:t>ormula molecolare</w:t>
      </w:r>
      <w:r w:rsidR="00E14380" w:rsidRPr="006312EE">
        <w:rPr>
          <w:rFonts w:asciiTheme="minorHAnsi" w:hAnsiTheme="minorHAnsi"/>
          <w:b w:val="0"/>
          <w:sz w:val="22"/>
          <w:szCs w:val="22"/>
        </w:rPr>
        <w:t>:</w:t>
      </w:r>
      <w:r w:rsidR="00E14380" w:rsidRPr="006312EE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E752F3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B12DF7">
        <w:rPr>
          <w:rFonts w:asciiTheme="minorHAnsi" w:hAnsiTheme="minorHAnsi" w:cs="Arial"/>
          <w:b w:val="0"/>
          <w:sz w:val="22"/>
          <w:szCs w:val="22"/>
        </w:rPr>
        <w:t>CH₂Cl₂O₆P₂Na₂,</w:t>
      </w:r>
      <w:r w:rsidR="0032701C" w:rsidRPr="0032701C">
        <w:rPr>
          <w:rFonts w:asciiTheme="minorHAnsi" w:hAnsiTheme="minorHAnsi" w:cs="Arial"/>
          <w:b w:val="0"/>
          <w:sz w:val="22"/>
          <w:szCs w:val="22"/>
        </w:rPr>
        <w:t xml:space="preserve"> 4H₂O</w:t>
      </w:r>
    </w:p>
    <w:p w:rsidR="00E14380" w:rsidRPr="00B12DF7" w:rsidRDefault="00E14380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  <w:u w:val="single"/>
        </w:rPr>
      </w:pPr>
      <w:r w:rsidRPr="00B12DF7">
        <w:rPr>
          <w:rFonts w:asciiTheme="minorHAnsi" w:hAnsiTheme="minorHAnsi"/>
          <w:b w:val="0"/>
          <w:sz w:val="22"/>
          <w:szCs w:val="22"/>
          <w:u w:val="single"/>
        </w:rPr>
        <w:t xml:space="preserve">Peso molecolare: </w:t>
      </w:r>
      <w:r w:rsidR="00E752F3" w:rsidRPr="00B12DF7">
        <w:rPr>
          <w:b w:val="0"/>
          <w:sz w:val="22"/>
          <w:szCs w:val="22"/>
          <w:u w:val="single"/>
        </w:rPr>
        <w:t xml:space="preserve"> </w:t>
      </w:r>
      <w:r w:rsidR="00700F7D" w:rsidRPr="00B12DF7">
        <w:rPr>
          <w:rFonts w:asciiTheme="minorHAnsi" w:hAnsiTheme="minorHAnsi"/>
          <w:b w:val="0"/>
          <w:sz w:val="22"/>
          <w:szCs w:val="22"/>
          <w:u w:val="single"/>
        </w:rPr>
        <w:t>360.908g/mol  </w:t>
      </w:r>
    </w:p>
    <w:p w:rsidR="007C68D2" w:rsidRPr="00F2215C" w:rsidRDefault="007C68D2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</w:rPr>
      </w:pPr>
      <w:r w:rsidRPr="00F2215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F2215C">
        <w:rPr>
          <w:rFonts w:asciiTheme="minorHAnsi" w:hAnsiTheme="minorHAnsi"/>
          <w:b w:val="0"/>
          <w:sz w:val="22"/>
          <w:szCs w:val="22"/>
        </w:rPr>
        <w:t xml:space="preserve">: </w:t>
      </w:r>
      <w:r w:rsidR="00E752F3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32701C" w:rsidRPr="0032701C">
        <w:rPr>
          <w:rFonts w:asciiTheme="minorHAnsi" w:hAnsiTheme="minorHAnsi" w:cs="Arial"/>
          <w:b w:val="0"/>
          <w:sz w:val="22"/>
          <w:szCs w:val="22"/>
        </w:rPr>
        <w:t>88416-50-6</w:t>
      </w:r>
    </w:p>
    <w:p w:rsidR="007C68D2" w:rsidRPr="00032587" w:rsidRDefault="007C68D2" w:rsidP="00B12DF7">
      <w:pPr>
        <w:spacing w:after="0" w:line="240" w:lineRule="auto"/>
        <w:contextualSpacing/>
        <w:jc w:val="both"/>
      </w:pPr>
      <w:r w:rsidRPr="00F2215C">
        <w:rPr>
          <w:u w:val="single"/>
        </w:rPr>
        <w:t>Aspetto</w:t>
      </w:r>
      <w:r w:rsidRPr="00F2215C">
        <w:t>:</w:t>
      </w:r>
      <w:r w:rsidR="00E14380" w:rsidRPr="00F2215C">
        <w:t xml:space="preserve"> </w:t>
      </w:r>
      <w:r w:rsidR="00E752F3">
        <w:t xml:space="preserve"> </w:t>
      </w:r>
      <w:r w:rsidR="00700F7D">
        <w:t>polvere cristallina bianca o biancastra</w:t>
      </w:r>
    </w:p>
    <w:p w:rsidR="007C68D2" w:rsidRPr="00032587" w:rsidRDefault="007C68D2" w:rsidP="00B12DF7">
      <w:pPr>
        <w:spacing w:after="0" w:line="240" w:lineRule="auto"/>
        <w:contextualSpacing/>
        <w:jc w:val="both"/>
      </w:pPr>
      <w:r w:rsidRPr="00032587">
        <w:rPr>
          <w:u w:val="single"/>
        </w:rPr>
        <w:t>Solubilità</w:t>
      </w:r>
      <w:r w:rsidRPr="00032587">
        <w:t xml:space="preserve">: </w:t>
      </w:r>
      <w:r w:rsidR="00E752F3">
        <w:rPr>
          <w:rStyle w:val="s1"/>
          <w:rFonts w:asciiTheme="minorHAnsi" w:hAnsiTheme="minorHAnsi"/>
        </w:rPr>
        <w:t xml:space="preserve"> </w:t>
      </w:r>
      <w:r w:rsidR="00700F7D">
        <w:rPr>
          <w:rStyle w:val="s1"/>
          <w:rFonts w:asciiTheme="minorHAnsi" w:hAnsiTheme="minorHAnsi"/>
        </w:rPr>
        <w:t>molto solubile in acqua, praticamente insolubile in etanolo (96%), lievemente solubile in metanolo.</w:t>
      </w:r>
    </w:p>
    <w:p w:rsidR="006312EE" w:rsidRPr="00032587" w:rsidRDefault="006312EE" w:rsidP="00700F7D">
      <w:pPr>
        <w:spacing w:after="0" w:line="240" w:lineRule="auto"/>
        <w:contextualSpacing/>
        <w:jc w:val="both"/>
      </w:pPr>
    </w:p>
    <w:p w:rsidR="00502AB1" w:rsidRPr="00032587" w:rsidRDefault="00502AB1" w:rsidP="00700F7D">
      <w:pPr>
        <w:spacing w:after="0" w:line="240" w:lineRule="auto"/>
        <w:contextualSpacing/>
        <w:jc w:val="both"/>
      </w:pPr>
      <w:r w:rsidRPr="00032587">
        <w:t xml:space="preserve">Il principio attivo </w:t>
      </w:r>
      <w:proofErr w:type="spellStart"/>
      <w:r w:rsidR="0032701C">
        <w:t>clodronato</w:t>
      </w:r>
      <w:proofErr w:type="spellEnd"/>
      <w:r w:rsidR="0032701C">
        <w:t xml:space="preserve"> </w:t>
      </w:r>
      <w:proofErr w:type="spellStart"/>
      <w:r w:rsidR="0032701C">
        <w:t>disodico</w:t>
      </w:r>
      <w:proofErr w:type="spellEnd"/>
      <w:r w:rsidR="0032701C">
        <w:t xml:space="preserve"> </w:t>
      </w:r>
      <w:proofErr w:type="spellStart"/>
      <w:r w:rsidR="0032701C">
        <w:t>tetraidrato</w:t>
      </w:r>
      <w:proofErr w:type="spellEnd"/>
      <w:r w:rsidRPr="00032587">
        <w:t xml:space="preserve"> è presente in Farmacopea Europea e il </w:t>
      </w:r>
      <w:proofErr w:type="spellStart"/>
      <w:r w:rsidRPr="00032587">
        <w:t>Direttorato</w:t>
      </w:r>
      <w:proofErr w:type="spellEnd"/>
      <w:r w:rsidRPr="00032587">
        <w:t xml:space="preserve"> Europeo per la Qualità dei Medicinali (</w:t>
      </w:r>
      <w:proofErr w:type="spellStart"/>
      <w:r w:rsidRPr="00032587">
        <w:rPr>
          <w:i/>
        </w:rPr>
        <w:t>European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Directorate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for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Quality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of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Medicinals</w:t>
      </w:r>
      <w:proofErr w:type="spellEnd"/>
      <w:r w:rsidRPr="00032587">
        <w:t xml:space="preserve"> – EDQM) ha rilasciato al  produttore  il certificato di conformità alla Farmacopea Europea (CEP).</w:t>
      </w:r>
    </w:p>
    <w:p w:rsidR="00E14380" w:rsidRPr="00032587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032587">
        <w:t xml:space="preserve">Tutti gli aspetti di produzione e controllo sono coperti dal certificato di conformità alla Farmacopea Europea. Il periodo di </w:t>
      </w:r>
      <w:proofErr w:type="spellStart"/>
      <w:r w:rsidRPr="00032587">
        <w:t>retest</w:t>
      </w:r>
      <w:proofErr w:type="spellEnd"/>
      <w:r w:rsidRPr="00032587">
        <w:t xml:space="preserve"> è di </w:t>
      </w:r>
      <w:r w:rsidR="0032701C">
        <w:t>5</w:t>
      </w:r>
      <w:r w:rsidR="00E14380" w:rsidRPr="00032587">
        <w:t xml:space="preserve"> anni</w:t>
      </w:r>
      <w:r w:rsidRPr="00032587">
        <w:t xml:space="preserve"> quando il principio attivo è conservato</w:t>
      </w:r>
      <w:r w:rsidR="00E14380" w:rsidRPr="00032587">
        <w:t xml:space="preserve"> </w:t>
      </w:r>
      <w:r w:rsidRPr="00032587">
        <w:t xml:space="preserve">in </w:t>
      </w:r>
      <w:r w:rsidR="0032701C">
        <w:t>doppia busta di polietilene.</w:t>
      </w:r>
    </w:p>
    <w:p w:rsidR="00502AB1" w:rsidRDefault="00502AB1" w:rsidP="00E14380">
      <w:pPr>
        <w:spacing w:after="0" w:line="240" w:lineRule="auto"/>
        <w:jc w:val="both"/>
      </w:pPr>
    </w:p>
    <w:p w:rsidR="00E752F3" w:rsidRDefault="00E752F3" w:rsidP="00E14380">
      <w:pPr>
        <w:spacing w:after="0" w:line="240" w:lineRule="auto"/>
        <w:jc w:val="both"/>
        <w:rPr>
          <w:b/>
        </w:rPr>
      </w:pPr>
      <w:r w:rsidRPr="00E752F3">
        <w:rPr>
          <w:b/>
        </w:rPr>
        <w:t>II.1.2 PRINCIPIO ATTIVO</w:t>
      </w:r>
      <w:r>
        <w:rPr>
          <w:b/>
        </w:rPr>
        <w:t xml:space="preserve"> LIDOCAINA CLORIDRATO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Nome chimico</w:t>
      </w:r>
      <w:r w:rsidRPr="0032701C">
        <w:t xml:space="preserve">: </w:t>
      </w:r>
      <w:r w:rsidR="00B12DF7" w:rsidRPr="00B12DF7">
        <w:t>2-(</w:t>
      </w:r>
      <w:proofErr w:type="spellStart"/>
      <w:r w:rsidR="00B12DF7" w:rsidRPr="00B12DF7">
        <w:t>Diethylamino</w:t>
      </w:r>
      <w:proofErr w:type="spellEnd"/>
      <w:r w:rsidR="00B12DF7" w:rsidRPr="00B12DF7">
        <w:t>)-</w:t>
      </w:r>
      <w:r w:rsidR="00B12DF7" w:rsidRPr="00B12DF7">
        <w:rPr>
          <w:i/>
          <w:iCs/>
        </w:rPr>
        <w:t>N</w:t>
      </w:r>
      <w:r w:rsidR="00B12DF7" w:rsidRPr="00B12DF7">
        <w:t xml:space="preserve">-(2,6-dimethylphenyl)acetamide </w:t>
      </w:r>
      <w:proofErr w:type="spellStart"/>
      <w:r w:rsidR="00B12DF7" w:rsidRPr="00B12DF7">
        <w:t>hydrochloride</w:t>
      </w:r>
      <w:proofErr w:type="spellEnd"/>
      <w:r w:rsidR="00B12DF7" w:rsidRPr="00B12DF7">
        <w:t xml:space="preserve"> </w:t>
      </w:r>
      <w:proofErr w:type="spellStart"/>
      <w:r w:rsidR="00B12DF7" w:rsidRPr="00B12DF7">
        <w:t>monohydrate</w:t>
      </w:r>
      <w:proofErr w:type="spellEnd"/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Struttura</w:t>
      </w:r>
      <w:r w:rsidRPr="0032701C">
        <w:t xml:space="preserve">: </w:t>
      </w:r>
    </w:p>
    <w:p w:rsidR="0032701C" w:rsidRPr="00E752F3" w:rsidRDefault="0032701C" w:rsidP="00E14380">
      <w:pPr>
        <w:spacing w:after="0" w:line="240" w:lineRule="auto"/>
        <w:jc w:val="both"/>
        <w:rPr>
          <w:b/>
        </w:rPr>
      </w:pPr>
    </w:p>
    <w:p w:rsidR="00E752F3" w:rsidRPr="00032587" w:rsidRDefault="00E752F3" w:rsidP="00E14380">
      <w:pPr>
        <w:spacing w:after="0" w:line="240" w:lineRule="auto"/>
        <w:jc w:val="both"/>
      </w:pPr>
    </w:p>
    <w:p w:rsidR="0032701C" w:rsidRPr="0032701C" w:rsidRDefault="0032701C" w:rsidP="0032701C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2583815" cy="768985"/>
            <wp:effectExtent l="19050" t="0" r="6985" b="0"/>
            <wp:docPr id="7" name="Immagine 7" descr="P:\_dp\905\XML-IN\Images\cf0227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:\_dp\905\XML-IN\Images\cf0227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76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01C" w:rsidRDefault="0032701C" w:rsidP="0032701C">
      <w:pPr>
        <w:spacing w:after="0" w:line="240" w:lineRule="auto"/>
        <w:jc w:val="both"/>
        <w:rPr>
          <w:bCs/>
          <w:u w:val="single"/>
        </w:rPr>
      </w:pPr>
    </w:p>
    <w:p w:rsidR="0032701C" w:rsidRDefault="0032701C" w:rsidP="0032701C">
      <w:pPr>
        <w:spacing w:after="0" w:line="240" w:lineRule="auto"/>
        <w:jc w:val="both"/>
        <w:rPr>
          <w:bCs/>
          <w:u w:val="single"/>
        </w:rPr>
      </w:pPr>
    </w:p>
    <w:p w:rsidR="0032701C" w:rsidRPr="0032701C" w:rsidRDefault="0032701C" w:rsidP="0032701C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701C">
        <w:rPr>
          <w:bCs/>
          <w:u w:val="single"/>
        </w:rPr>
        <w:t>Formula molecolare</w:t>
      </w:r>
      <w:r w:rsidRPr="0032701C">
        <w:rPr>
          <w:bCs/>
        </w:rPr>
        <w:t xml:space="preserve">:  </w:t>
      </w:r>
      <w:r>
        <w:rPr>
          <w:bCs/>
        </w:rPr>
        <w:t xml:space="preserve"> </w:t>
      </w:r>
      <w:r w:rsidRPr="0032701C">
        <w:rPr>
          <w:bCs/>
        </w:rPr>
        <w:t>C</w:t>
      </w:r>
      <w:r w:rsidRPr="0032701C">
        <w:rPr>
          <w:bCs/>
          <w:vertAlign w:val="subscript"/>
        </w:rPr>
        <w:t>14</w:t>
      </w:r>
      <w:r w:rsidRPr="0032701C">
        <w:rPr>
          <w:bCs/>
        </w:rPr>
        <w:t>H</w:t>
      </w:r>
      <w:r w:rsidRPr="0032701C">
        <w:rPr>
          <w:bCs/>
          <w:vertAlign w:val="subscript"/>
        </w:rPr>
        <w:t>23</w:t>
      </w:r>
      <w:r w:rsidRPr="0032701C">
        <w:rPr>
          <w:bCs/>
        </w:rPr>
        <w:t>ClN</w:t>
      </w:r>
      <w:r w:rsidRPr="00B12DF7">
        <w:rPr>
          <w:bCs/>
          <w:vertAlign w:val="subscript"/>
        </w:rPr>
        <w:t>2</w:t>
      </w:r>
      <w:r w:rsidRPr="0032701C">
        <w:rPr>
          <w:bCs/>
        </w:rPr>
        <w:t>O,H2O</w:t>
      </w:r>
      <w:r w:rsidRPr="0032701C">
        <w:rPr>
          <w:rFonts w:ascii="Arial" w:eastAsia="Times New Roman" w:hAnsi="Arial" w:cs="Arial"/>
          <w:sz w:val="20"/>
          <w:lang w:eastAsia="it-IT"/>
        </w:rPr>
        <w:t xml:space="preserve"> </w:t>
      </w: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Peso molecolare</w:t>
      </w:r>
      <w:r w:rsidRPr="0032701C">
        <w:t xml:space="preserve">:  </w:t>
      </w:r>
      <w:r>
        <w:rPr>
          <w:bCs/>
        </w:rPr>
        <w:t xml:space="preserve"> </w:t>
      </w:r>
      <w:r w:rsidRPr="0032701C">
        <w:rPr>
          <w:bCs/>
        </w:rPr>
        <w:t>234.343 g/mol</w:t>
      </w:r>
    </w:p>
    <w:p w:rsidR="0032701C" w:rsidRPr="0032701C" w:rsidRDefault="0032701C" w:rsidP="0032701C">
      <w:pPr>
        <w:spacing w:after="0" w:line="240" w:lineRule="auto"/>
        <w:jc w:val="both"/>
        <w:rPr>
          <w:bCs/>
        </w:rPr>
      </w:pPr>
      <w:r w:rsidRPr="0032701C">
        <w:rPr>
          <w:bCs/>
          <w:u w:val="single"/>
        </w:rPr>
        <w:t>CAS</w:t>
      </w:r>
      <w:r w:rsidRPr="0032701C">
        <w:rPr>
          <w:bCs/>
        </w:rPr>
        <w:t xml:space="preserve">:  </w:t>
      </w:r>
      <w:r>
        <w:rPr>
          <w:bCs/>
        </w:rPr>
        <w:t xml:space="preserve"> </w:t>
      </w:r>
      <w:r w:rsidRPr="0032701C">
        <w:rPr>
          <w:bCs/>
        </w:rPr>
        <w:t>137-58-6</w:t>
      </w: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Aspetto</w:t>
      </w:r>
      <w:r w:rsidRPr="0032701C">
        <w:t xml:space="preserve">:  </w:t>
      </w:r>
      <w:r>
        <w:t xml:space="preserve"> </w:t>
      </w:r>
      <w:r w:rsidR="00B12DF7" w:rsidRPr="00B12DF7">
        <w:t>polvere cristallina bianca o biancastra</w:t>
      </w:r>
    </w:p>
    <w:p w:rsidR="00B12DF7" w:rsidRPr="00B12DF7" w:rsidRDefault="0032701C" w:rsidP="00B12DF7">
      <w:pPr>
        <w:spacing w:after="0" w:line="240" w:lineRule="auto"/>
        <w:jc w:val="both"/>
      </w:pPr>
      <w:r w:rsidRPr="0032701C">
        <w:rPr>
          <w:u w:val="single"/>
        </w:rPr>
        <w:t>Solubilità</w:t>
      </w:r>
      <w:r w:rsidRPr="0032701C">
        <w:t xml:space="preserve">: </w:t>
      </w:r>
      <w:r w:rsidR="00B12DF7" w:rsidRPr="00B12DF7">
        <w:t xml:space="preserve">molto solubile in acqua, </w:t>
      </w:r>
      <w:r w:rsidR="00B12DF7">
        <w:t>molto solubile in etanolo (96%).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  <w:r w:rsidRPr="0032701C">
        <w:t xml:space="preserve"> </w:t>
      </w:r>
      <w:r>
        <w:t xml:space="preserve"> </w:t>
      </w:r>
    </w:p>
    <w:p w:rsidR="00353318" w:rsidRPr="00353318" w:rsidRDefault="00353318" w:rsidP="00353318">
      <w:pPr>
        <w:spacing w:after="0" w:line="240" w:lineRule="auto"/>
        <w:jc w:val="both"/>
      </w:pPr>
      <w:r w:rsidRPr="00353318">
        <w:t xml:space="preserve">Il principio attivo </w:t>
      </w:r>
      <w:r>
        <w:t>lidocaina cloridrato</w:t>
      </w:r>
      <w:r w:rsidRPr="00353318">
        <w:t xml:space="preserve"> è presente in Farmacopea Europea e il </w:t>
      </w:r>
      <w:proofErr w:type="spellStart"/>
      <w:r w:rsidRPr="00353318">
        <w:t>Direttorato</w:t>
      </w:r>
      <w:proofErr w:type="spellEnd"/>
      <w:r w:rsidRPr="00353318">
        <w:t xml:space="preserve"> Europeo per la Qualità dei Medicinali (</w:t>
      </w:r>
      <w:proofErr w:type="spellStart"/>
      <w:r w:rsidRPr="00353318">
        <w:rPr>
          <w:i/>
        </w:rPr>
        <w:t>European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Directorate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for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Quality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of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Medicinals</w:t>
      </w:r>
      <w:proofErr w:type="spellEnd"/>
      <w:r w:rsidRPr="00353318">
        <w:t xml:space="preserve"> – EDQM) ha rilasciato al  produttore  il certificato di conformità alla Farmacopea Europea (CEP).</w:t>
      </w:r>
    </w:p>
    <w:p w:rsidR="00353318" w:rsidRPr="00353318" w:rsidRDefault="00353318" w:rsidP="00353318">
      <w:pPr>
        <w:spacing w:after="0" w:line="240" w:lineRule="auto"/>
        <w:jc w:val="both"/>
      </w:pPr>
      <w:r w:rsidRPr="00353318">
        <w:t xml:space="preserve">Tutti gli aspetti di produzione e controllo sono coperti dal certificato di conformità alla Farmacopea Europea. Il periodo di </w:t>
      </w:r>
      <w:proofErr w:type="spellStart"/>
      <w:r w:rsidRPr="00353318">
        <w:t>retest</w:t>
      </w:r>
      <w:proofErr w:type="spellEnd"/>
      <w:r w:rsidRPr="00353318">
        <w:t xml:space="preserve"> è di 5 anni quando il principio attivo è conservato in doppia busta di polietilene.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E752F3" w:rsidRDefault="006C7A1A" w:rsidP="00E752F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7C68D2" w:rsidRPr="00CE5C72">
        <w:rPr>
          <w:rFonts w:eastAsia="Calibri" w:cs="Calibri"/>
          <w:color w:val="000000"/>
          <w:lang w:eastAsia="it-IT"/>
        </w:rPr>
        <w:t xml:space="preserve"> è disponibile come </w:t>
      </w:r>
      <w:r w:rsidR="00C31AF0" w:rsidRPr="00CE5C72">
        <w:rPr>
          <w:rFonts w:eastAsia="Calibri" w:cs="Calibri"/>
          <w:color w:val="000000"/>
          <w:lang w:eastAsia="it-IT"/>
        </w:rPr>
        <w:t xml:space="preserve">soluzione </w:t>
      </w:r>
      <w:r w:rsidR="00E752F3">
        <w:rPr>
          <w:rFonts w:eastAsia="Calibri" w:cs="Calibri"/>
          <w:color w:val="000000"/>
          <w:lang w:eastAsia="it-IT"/>
        </w:rPr>
        <w:t xml:space="preserve">iniettabile per uso intramuscolare </w:t>
      </w:r>
      <w:r w:rsidR="00C31AF0" w:rsidRPr="00CE5C72">
        <w:rPr>
          <w:rFonts w:eastAsia="Calibri" w:cs="Calibri"/>
          <w:color w:val="000000"/>
          <w:lang w:eastAsia="it-IT"/>
        </w:rPr>
        <w:t>contenente</w:t>
      </w:r>
      <w:r w:rsidR="007C68D2" w:rsidRPr="00CE5C72">
        <w:rPr>
          <w:rFonts w:eastAsia="Calibri" w:cs="Calibri"/>
          <w:color w:val="000000"/>
          <w:lang w:eastAsia="it-IT"/>
        </w:rPr>
        <w:t xml:space="preserve"> </w:t>
      </w:r>
      <w:r w:rsidR="00E752F3">
        <w:rPr>
          <w:rFonts w:eastAsia="Calibri" w:cs="Calibri"/>
          <w:color w:val="000000"/>
          <w:lang w:eastAsia="it-IT"/>
        </w:rPr>
        <w:t>i</w:t>
      </w:r>
      <w:r w:rsidR="00353318">
        <w:rPr>
          <w:rFonts w:eastAsia="Calibri" w:cs="Calibri"/>
          <w:color w:val="000000"/>
          <w:lang w:eastAsia="it-IT"/>
        </w:rPr>
        <w:t xml:space="preserve"> principi</w:t>
      </w:r>
      <w:r w:rsidR="00502AB1" w:rsidRPr="00CE5C72">
        <w:rPr>
          <w:rFonts w:eastAsia="Calibri" w:cs="Calibri"/>
          <w:color w:val="000000"/>
          <w:lang w:eastAsia="it-IT"/>
        </w:rPr>
        <w:t xml:space="preserve"> attiv</w:t>
      </w:r>
      <w:r w:rsidR="00E752F3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B12DF7">
        <w:rPr>
          <w:rFonts w:eastAsia="Calibri" w:cs="Calibri"/>
          <w:color w:val="000000"/>
          <w:lang w:eastAsia="it-IT"/>
        </w:rPr>
        <w:t>clodronato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2DF7">
        <w:rPr>
          <w:rFonts w:eastAsia="Calibri" w:cs="Calibri"/>
          <w:color w:val="000000"/>
          <w:lang w:eastAsia="it-IT"/>
        </w:rPr>
        <w:t>disodico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e lidocaina cloridrato</w:t>
      </w:r>
      <w:r w:rsidR="00502AB1" w:rsidRPr="00CE5C72">
        <w:rPr>
          <w:rFonts w:eastAsia="Calibri" w:cs="Calibri"/>
          <w:color w:val="000000"/>
          <w:lang w:eastAsia="it-IT"/>
        </w:rPr>
        <w:t xml:space="preserve"> </w:t>
      </w:r>
      <w:r w:rsidR="00B12DF7">
        <w:rPr>
          <w:rFonts w:eastAsia="Calibri" w:cs="Calibri"/>
          <w:color w:val="000000"/>
          <w:lang w:eastAsia="it-IT"/>
        </w:rPr>
        <w:t xml:space="preserve">alla </w:t>
      </w:r>
      <w:r w:rsidR="00502AB1" w:rsidRPr="00CE5C72">
        <w:rPr>
          <w:rFonts w:eastAsia="Calibri" w:cs="Calibri"/>
          <w:color w:val="000000"/>
          <w:lang w:eastAsia="it-IT"/>
        </w:rPr>
        <w:t xml:space="preserve"> </w:t>
      </w:r>
      <w:r w:rsidR="00B12DF7">
        <w:rPr>
          <w:rFonts w:eastAsia="Calibri" w:cs="Calibri"/>
          <w:color w:val="000000"/>
          <w:lang w:eastAsia="it-IT"/>
        </w:rPr>
        <w:t xml:space="preserve">seguente </w:t>
      </w:r>
      <w:r w:rsidR="00502AB1" w:rsidRPr="00CE5C72">
        <w:rPr>
          <w:rFonts w:eastAsia="Calibri" w:cs="Calibri"/>
          <w:color w:val="000000"/>
          <w:lang w:eastAsia="it-IT"/>
        </w:rPr>
        <w:t>concentrazione</w:t>
      </w:r>
      <w:r w:rsidR="00B12DF7">
        <w:rPr>
          <w:rFonts w:eastAsia="Calibri" w:cs="Calibri"/>
          <w:color w:val="000000"/>
          <w:lang w:eastAsia="it-IT"/>
        </w:rPr>
        <w:t>:</w:t>
      </w:r>
      <w:r w:rsidR="00CE5C72" w:rsidRPr="00CE5C72">
        <w:rPr>
          <w:rFonts w:eastAsia="Calibri" w:cs="Calibri"/>
          <w:color w:val="000000"/>
          <w:lang w:eastAsia="it-IT"/>
        </w:rPr>
        <w:t xml:space="preserve"> </w:t>
      </w:r>
    </w:p>
    <w:p w:rsidR="00B12DF7" w:rsidRDefault="00B12DF7" w:rsidP="00B12DF7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B12DF7">
        <w:rPr>
          <w:rFonts w:eastAsia="Calibri" w:cs="Calibri"/>
          <w:color w:val="000000"/>
          <w:lang w:eastAsia="it-IT"/>
        </w:rPr>
        <w:lastRenderedPageBreak/>
        <w:t xml:space="preserve">124,9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(equivalenti a 100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) </w:t>
      </w:r>
      <w:r>
        <w:rPr>
          <w:rFonts w:eastAsia="Calibri" w:cs="Calibri"/>
          <w:color w:val="000000"/>
          <w:lang w:eastAsia="it-IT"/>
        </w:rPr>
        <w:t>e 33 mg di lidocaina cloridrato (1%) in una fiala da 3,3 ml</w:t>
      </w:r>
    </w:p>
    <w:p w:rsidR="00B12DF7" w:rsidRDefault="00B12DF7" w:rsidP="00B12DF7">
      <w:pPr>
        <w:contextualSpacing/>
        <w:jc w:val="both"/>
        <w:rPr>
          <w:rFonts w:eastAsia="Calibri" w:cs="Calibri"/>
          <w:color w:val="000000"/>
          <w:lang w:eastAsia="it-IT"/>
        </w:rPr>
      </w:pPr>
      <w:r w:rsidRPr="00B12DF7">
        <w:rPr>
          <w:rFonts w:eastAsia="Calibri" w:cs="Calibri"/>
          <w:color w:val="000000"/>
          <w:lang w:eastAsia="it-IT"/>
        </w:rPr>
        <w:t xml:space="preserve">249,9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(equivalenti a 200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>) e 40 mg di lidocaina cloridrato (1%) in una fiala da 4 ml</w:t>
      </w:r>
      <w:r>
        <w:rPr>
          <w:rFonts w:eastAsia="Calibri" w:cs="Calibri"/>
          <w:color w:val="000000"/>
          <w:lang w:eastAsia="it-IT"/>
        </w:rPr>
        <w:t>.</w:t>
      </w:r>
    </w:p>
    <w:p w:rsidR="00B12DF7" w:rsidRPr="00B12DF7" w:rsidRDefault="00E752F3" w:rsidP="00B12DF7">
      <w:pPr>
        <w:contextualSpacing/>
      </w:pPr>
      <w:r>
        <w:rPr>
          <w:rFonts w:eastAsia="Calibri" w:cs="Calibri"/>
          <w:color w:val="000000"/>
          <w:lang w:eastAsia="it-IT"/>
        </w:rPr>
        <w:t>Gl</w:t>
      </w:r>
      <w:r w:rsidR="007C68D2" w:rsidRPr="00CE5C72">
        <w:t>i eccipienti</w:t>
      </w:r>
      <w:r w:rsidR="00C31AF0" w:rsidRPr="00CE5C72">
        <w:t xml:space="preserve"> </w:t>
      </w:r>
      <w:r w:rsidR="007C68D2" w:rsidRPr="00CE5C72">
        <w:t xml:space="preserve">sono i seguenti: </w:t>
      </w:r>
      <w:r w:rsidR="00B12DF7">
        <w:t>s</w:t>
      </w:r>
      <w:r w:rsidR="00B12DF7" w:rsidRPr="00B12DF7">
        <w:t>odio idrogeno carbonato, acqua per preparazioni iniettabili.</w:t>
      </w:r>
    </w:p>
    <w:p w:rsidR="007C68D2" w:rsidRPr="00CE5C72" w:rsidRDefault="007C68D2" w:rsidP="00B12DF7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contextualSpacing/>
        <w:jc w:val="both"/>
      </w:pPr>
      <w:r w:rsidRPr="00CE5C72">
        <w:t>Tutti gli eccipienti sono conformi alla relativa monografia di Farmacopea Europea.</w:t>
      </w:r>
    </w:p>
    <w:p w:rsidR="007C68D2" w:rsidRPr="00CE5C72" w:rsidRDefault="007C68D2" w:rsidP="00B12DF7">
      <w:pPr>
        <w:spacing w:after="0" w:line="240" w:lineRule="auto"/>
        <w:contextualSpacing/>
        <w:jc w:val="both"/>
      </w:pPr>
      <w:r w:rsidRPr="00CE5C72">
        <w:t>Nessun eccipiente è ottenuto da organismi geneticamente modificati; non sono presenti eccipienti mai utilizzati nell’uomo.</w:t>
      </w:r>
    </w:p>
    <w:p w:rsidR="00F01FB3" w:rsidRPr="00CE5C72" w:rsidRDefault="00F01FB3" w:rsidP="00B12DF7">
      <w:pPr>
        <w:spacing w:after="0" w:line="240" w:lineRule="auto"/>
        <w:contextualSpacing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E752F3" w:rsidRDefault="006C7A1A" w:rsidP="00B32D81">
      <w:pPr>
        <w:spacing w:after="0" w:line="240" w:lineRule="auto"/>
        <w:jc w:val="both"/>
      </w:pPr>
      <w:r>
        <w:t>ACIDO CLODRONICO DOC GENERICI</w:t>
      </w:r>
      <w:r w:rsidR="007C68D2" w:rsidRPr="00B32D81">
        <w:t xml:space="preserve"> è confezionato in </w:t>
      </w:r>
      <w:bookmarkStart w:id="1" w:name="_GoBack"/>
      <w:bookmarkEnd w:id="1"/>
      <w:r w:rsidR="00B12DF7">
        <w:t>fiale in vetro.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353318">
        <w:t>il componente</w:t>
      </w:r>
      <w:r w:rsidRPr="00B32D81">
        <w:t xml:space="preserve">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B12DF7">
        <w:t>2</w:t>
      </w:r>
      <w:r w:rsidR="00CE5C72">
        <w:t xml:space="preserve"> anni</w:t>
      </w:r>
      <w:r w:rsidR="00502AB1" w:rsidRPr="00502AB1">
        <w:t xml:space="preserve">; </w:t>
      </w:r>
    </w:p>
    <w:p w:rsidR="00E752F3" w:rsidRPr="00B32D81" w:rsidRDefault="00E752F3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6C7A1A">
        <w:t>ACIDO CLODRONICO DOC GENERICI</w:t>
      </w:r>
      <w:r w:rsidRPr="00B32D81">
        <w:t xml:space="preserve"> è considerata adeguata. Non ci sono obiezioni per l’approvazione di </w:t>
      </w:r>
      <w:r w:rsidR="006C7A1A">
        <w:t>ACIDO CLODRONICO DOC GENERICI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6C7A1A">
        <w:t>ACIDO CLODRONICO DOC GENERICI</w:t>
      </w:r>
      <w:r w:rsidRPr="00B32D81">
        <w:t xml:space="preserve"> contiene un principio attivo noto: questo approccio è accettabile poiché il medicinale di riferimento </w:t>
      </w:r>
      <w:proofErr w:type="spellStart"/>
      <w:r w:rsidR="00E752F3">
        <w:t>Clasteon</w:t>
      </w:r>
      <w:proofErr w:type="spellEnd"/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1C7AD0" w:rsidRDefault="006C7A1A" w:rsidP="001C7AD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ACIDO CLODRONICO DOC GENERICI</w:t>
      </w:r>
      <w:r w:rsidR="001C7AD0" w:rsidRPr="00502AB1">
        <w:rPr>
          <w:rFonts w:eastAsia="Calibri" w:cs="Calibri"/>
          <w:color w:val="000000"/>
          <w:lang w:eastAsia="it-IT"/>
        </w:rPr>
        <w:t xml:space="preserve"> è utilizzato per</w:t>
      </w:r>
      <w:r w:rsidR="001C7AD0">
        <w:rPr>
          <w:rFonts w:eastAsia="Calibri" w:cs="Calibri"/>
          <w:color w:val="000000"/>
          <w:lang w:eastAsia="it-IT"/>
        </w:rPr>
        <w:t>: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B12DF7">
        <w:rPr>
          <w:rFonts w:eastAsia="Times New Roman"/>
          <w:lang w:eastAsia="it-IT"/>
        </w:rPr>
        <w:t>Osteolisi</w:t>
      </w:r>
      <w:proofErr w:type="spellEnd"/>
      <w:r w:rsidRPr="00B12DF7">
        <w:rPr>
          <w:rFonts w:eastAsia="Times New Roman"/>
          <w:lang w:eastAsia="it-IT"/>
        </w:rPr>
        <w:t xml:space="preserve"> tumorali.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r w:rsidRPr="00B12DF7">
        <w:rPr>
          <w:rFonts w:eastAsia="Times New Roman"/>
          <w:lang w:eastAsia="it-IT"/>
        </w:rPr>
        <w:t>Mieloma multiplo.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B12DF7">
        <w:rPr>
          <w:rFonts w:eastAsia="Times New Roman"/>
          <w:lang w:eastAsia="it-IT"/>
        </w:rPr>
        <w:t>Iperparatiroidismo</w:t>
      </w:r>
      <w:proofErr w:type="spellEnd"/>
      <w:r w:rsidRPr="00B12DF7">
        <w:rPr>
          <w:rFonts w:eastAsia="Times New Roman"/>
          <w:lang w:eastAsia="it-IT"/>
        </w:rPr>
        <w:t xml:space="preserve"> primario.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r w:rsidRPr="00B12DF7">
        <w:rPr>
          <w:rFonts w:eastAsia="Times New Roman"/>
          <w:lang w:eastAsia="it-IT"/>
        </w:rPr>
        <w:lastRenderedPageBreak/>
        <w:t xml:space="preserve">Prevenzione e trattamento dell'osteoporosi post </w:t>
      </w:r>
      <w:proofErr w:type="spellStart"/>
      <w:r w:rsidRPr="00B12DF7">
        <w:rPr>
          <w:rFonts w:eastAsia="Times New Roman"/>
          <w:lang w:eastAsia="it-IT"/>
        </w:rPr>
        <w:t>menopausale</w:t>
      </w:r>
      <w:proofErr w:type="spellEnd"/>
      <w:r w:rsidRPr="00B12DF7">
        <w:rPr>
          <w:rFonts w:eastAsia="Times New Roman"/>
          <w:lang w:eastAsia="it-IT"/>
        </w:rPr>
        <w:t>.</w:t>
      </w:r>
    </w:p>
    <w:p w:rsidR="007C68D2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E752F3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 del</w:t>
      </w:r>
      <w:r w:rsidR="007C68D2" w:rsidRPr="00B32D8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clodronato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disodico</w:t>
      </w:r>
      <w:proofErr w:type="spellEnd"/>
      <w:r>
        <w:rPr>
          <w:rFonts w:eastAsia="Calibri" w:cs="Calibri"/>
          <w:lang w:eastAsia="it-IT"/>
        </w:rPr>
        <w:t xml:space="preserve"> </w:t>
      </w:r>
      <w:r w:rsidR="007C68D2"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</w:t>
      </w:r>
      <w:r w:rsidR="00E752F3">
        <w:rPr>
          <w:rFonts w:eastAsia="Calibri" w:cs="Calibri"/>
          <w:lang w:eastAsia="it-IT"/>
        </w:rPr>
        <w:t xml:space="preserve">del </w:t>
      </w:r>
      <w:proofErr w:type="spellStart"/>
      <w:r w:rsidR="00E752F3">
        <w:rPr>
          <w:rFonts w:eastAsia="Calibri" w:cs="Calibri"/>
          <w:lang w:eastAsia="it-IT"/>
        </w:rPr>
        <w:t>clodronato</w:t>
      </w:r>
      <w:proofErr w:type="spellEnd"/>
      <w:r w:rsidR="00E752F3">
        <w:rPr>
          <w:rFonts w:eastAsia="Calibri" w:cs="Calibri"/>
          <w:lang w:eastAsia="it-IT"/>
        </w:rPr>
        <w:t xml:space="preserve"> </w:t>
      </w:r>
      <w:proofErr w:type="spellStart"/>
      <w:r w:rsidR="00E752F3">
        <w:rPr>
          <w:rFonts w:eastAsia="Calibri" w:cs="Calibri"/>
          <w:lang w:eastAsia="it-IT"/>
        </w:rPr>
        <w:t>disodico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r w:rsidR="006C7A1A">
        <w:t>ACIDO CLODRONICO DOC GENERICI</w:t>
      </w:r>
      <w:r w:rsidRPr="00B32D81">
        <w:t xml:space="preserve"> contiene un principio attivo noto e presente nel medicinale </w:t>
      </w:r>
      <w:proofErr w:type="spellStart"/>
      <w:r w:rsidR="00E752F3">
        <w:t>Clasteon</w:t>
      </w:r>
      <w:proofErr w:type="spellEnd"/>
      <w:r w:rsidR="00A52DC4">
        <w:t xml:space="preserve"> </w:t>
      </w:r>
      <w:r w:rsidRPr="00B32D81">
        <w:t>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6C7A1A">
        <w:rPr>
          <w:rFonts w:cs="Arial"/>
        </w:rPr>
        <w:t>ACIDO CLODRONICO DOC GENERICI</w:t>
      </w:r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="006C7A1A">
        <w:rPr>
          <w:rFonts w:cs="Arial"/>
        </w:rPr>
        <w:t>ACIDO CLODRONICO DOC GENERICI</w:t>
      </w:r>
      <w:r>
        <w:rPr>
          <w:rFonts w:cs="Arial"/>
        </w:rPr>
        <w:t xml:space="preserve"> è somministrato come </w:t>
      </w:r>
      <w:r w:rsidR="001C7AD0">
        <w:rPr>
          <w:rFonts w:cs="Arial"/>
        </w:rPr>
        <w:t>soluzione</w:t>
      </w:r>
      <w:r w:rsidR="00E752F3">
        <w:rPr>
          <w:rFonts w:cs="Arial"/>
        </w:rPr>
        <w:t xml:space="preserve"> iniettabile per via intramuscolare.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r w:rsidR="006C7A1A">
        <w:t>ACIDO CLODRONICO DOC GENERICI</w:t>
      </w:r>
      <w:r w:rsidRPr="00B32D81">
        <w:t>.</w:t>
      </w:r>
    </w:p>
    <w:p w:rsidR="007C68D2" w:rsidRPr="00FE17AD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riassunto delle problematiche di sicurezza </w:t>
      </w:r>
      <w:r w:rsidRPr="00FE17AD">
        <w:t>sono riportate nella tabella seguente.</w:t>
      </w:r>
    </w:p>
    <w:p w:rsidR="007C68D2" w:rsidRPr="00FE17AD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F22BED" w:rsidRPr="00FE17AD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FE17AD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215C" w:rsidRDefault="00E752F3" w:rsidP="00972C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</w:t>
            </w:r>
            <w:r w:rsidR="006C0E2C">
              <w:rPr>
                <w:sz w:val="20"/>
                <w:szCs w:val="20"/>
                <w:lang w:eastAsia="en-GB"/>
              </w:rPr>
              <w:t xml:space="preserve">Reazioni di ipersensibilità (acido </w:t>
            </w:r>
            <w:proofErr w:type="spellStart"/>
            <w:r w:rsidR="006C0E2C">
              <w:rPr>
                <w:sz w:val="20"/>
                <w:szCs w:val="20"/>
                <w:lang w:eastAsia="en-GB"/>
              </w:rPr>
              <w:t>clodronico</w:t>
            </w:r>
            <w:proofErr w:type="spellEnd"/>
            <w:r w:rsidR="006C0E2C">
              <w:rPr>
                <w:sz w:val="20"/>
                <w:szCs w:val="20"/>
                <w:lang w:eastAsia="en-GB"/>
              </w:rPr>
              <w:t xml:space="preserve"> e lidocaina)</w:t>
            </w:r>
          </w:p>
          <w:p w:rsidR="006C0E2C" w:rsidRDefault="006C0E2C" w:rsidP="00972C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Trattamento concomitante con altri </w:t>
            </w:r>
            <w:proofErr w:type="spellStart"/>
            <w:r>
              <w:rPr>
                <w:sz w:val="20"/>
                <w:szCs w:val="20"/>
                <w:lang w:eastAsia="en-GB"/>
              </w:rPr>
              <w:t>bifosfonati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6C0E2C" w:rsidRDefault="006C0E2C" w:rsidP="00972C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Insufficienza renale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6C0E2C" w:rsidRDefault="006C0E2C" w:rsidP="00972C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Effetti depressivi cardiovascolari (lidocaina)</w:t>
            </w:r>
          </w:p>
          <w:p w:rsidR="006C0E2C" w:rsidRPr="00FE17AD" w:rsidRDefault="006C0E2C" w:rsidP="00FC509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Effetti eccitatori del sistema nervoso centrale (lidocaina)</w:t>
            </w:r>
          </w:p>
        </w:tc>
      </w:tr>
      <w:tr w:rsidR="00F22BED" w:rsidRPr="00FE17AD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FE17AD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FE17AD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72C6A" w:rsidRDefault="006C0E2C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proofErr w:type="spellStart"/>
            <w:r>
              <w:rPr>
                <w:sz w:val="20"/>
                <w:szCs w:val="20"/>
                <w:lang w:eastAsia="en-GB"/>
              </w:rPr>
              <w:t>Osteonecrosi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della mandibola/mascella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6C0E2C" w:rsidRPr="006C0E2C" w:rsidRDefault="006C0E2C" w:rsidP="006C0E2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Fratture atipiche del femore </w:t>
            </w:r>
            <w:r w:rsidRPr="006C0E2C">
              <w:rPr>
                <w:sz w:val="20"/>
                <w:szCs w:val="20"/>
                <w:lang w:eastAsia="en-GB"/>
              </w:rPr>
              <w:t xml:space="preserve">(acido </w:t>
            </w:r>
            <w:proofErr w:type="spellStart"/>
            <w:r w:rsidRPr="006C0E2C">
              <w:rPr>
                <w:sz w:val="20"/>
                <w:szCs w:val="20"/>
                <w:lang w:eastAsia="en-GB"/>
              </w:rPr>
              <w:t>clodronico</w:t>
            </w:r>
            <w:proofErr w:type="spellEnd"/>
            <w:r w:rsidRPr="006C0E2C">
              <w:rPr>
                <w:sz w:val="20"/>
                <w:szCs w:val="20"/>
                <w:lang w:eastAsia="en-GB"/>
              </w:rPr>
              <w:t>)</w:t>
            </w:r>
          </w:p>
          <w:p w:rsidR="006C0E2C" w:rsidRDefault="006C0E2C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Disturbi oculari (uveite, sclerite, </w:t>
            </w:r>
            <w:proofErr w:type="spellStart"/>
            <w:r>
              <w:rPr>
                <w:sz w:val="20"/>
                <w:szCs w:val="20"/>
                <w:lang w:eastAsia="en-GB"/>
              </w:rPr>
              <w:t>episclerite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)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6C0E2C" w:rsidRDefault="006C0E2C" w:rsidP="00972C6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Aumento del rischio della tossicità della lidocaina in pazienti con gravi malattie epatiche (lidocaina)</w:t>
            </w:r>
          </w:p>
          <w:p w:rsidR="006C0E2C" w:rsidRPr="00FE17AD" w:rsidRDefault="006C0E2C" w:rsidP="00FC509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Crisi di ipertermia familiare maligna in pazienti </w:t>
            </w:r>
            <w:r w:rsidR="00FC5097">
              <w:rPr>
                <w:sz w:val="20"/>
                <w:szCs w:val="20"/>
                <w:lang w:eastAsia="en-GB"/>
              </w:rPr>
              <w:t>a</w:t>
            </w:r>
            <w:r>
              <w:rPr>
                <w:sz w:val="20"/>
                <w:szCs w:val="20"/>
                <w:lang w:eastAsia="en-GB"/>
              </w:rPr>
              <w:t xml:space="preserve"> rischio (lidocaina)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FE17AD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FE17AD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5C" w:rsidRPr="00FE17AD" w:rsidRDefault="00E752F3" w:rsidP="00FC509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</w:t>
            </w:r>
            <w:r w:rsidR="006C0E2C">
              <w:rPr>
                <w:sz w:val="20"/>
                <w:szCs w:val="20"/>
                <w:lang w:eastAsia="en-GB"/>
              </w:rPr>
              <w:t xml:space="preserve">Uso </w:t>
            </w:r>
            <w:r w:rsidR="00FC5097">
              <w:rPr>
                <w:sz w:val="20"/>
                <w:szCs w:val="20"/>
                <w:lang w:eastAsia="en-GB"/>
              </w:rPr>
              <w:t>in</w:t>
            </w:r>
            <w:r w:rsidR="006C0E2C">
              <w:rPr>
                <w:sz w:val="20"/>
                <w:szCs w:val="20"/>
                <w:lang w:eastAsia="en-GB"/>
              </w:rPr>
              <w:t xml:space="preserve"> gravidanza e allattamento (acido </w:t>
            </w:r>
            <w:proofErr w:type="spellStart"/>
            <w:r w:rsidR="006C0E2C">
              <w:rPr>
                <w:sz w:val="20"/>
                <w:szCs w:val="20"/>
                <w:lang w:eastAsia="en-GB"/>
              </w:rPr>
              <w:t>clodronico</w:t>
            </w:r>
            <w:proofErr w:type="spellEnd"/>
            <w:r w:rsidR="006C0E2C">
              <w:rPr>
                <w:sz w:val="20"/>
                <w:szCs w:val="20"/>
                <w:lang w:eastAsia="en-GB"/>
              </w:rPr>
              <w:t>)</w:t>
            </w:r>
          </w:p>
        </w:tc>
      </w:tr>
    </w:tbl>
    <w:p w:rsidR="006C0E2C" w:rsidRDefault="006C0E2C" w:rsidP="00B32D8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Azioni routinarie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6C7A1A">
        <w:t>ACIDO CLODRONICO DOC GENERICI</w:t>
      </w:r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6C7A1A">
        <w:t>ACIDO CLODRONICO DOC GENERICI</w:t>
      </w:r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00116B" w:rsidRDefault="0000116B" w:rsidP="0000116B">
      <w:pPr>
        <w:spacing w:after="0" w:line="240" w:lineRule="auto"/>
        <w:ind w:left="993"/>
        <w:jc w:val="both"/>
        <w:rPr>
          <w:b/>
        </w:rPr>
      </w:pPr>
    </w:p>
    <w:p w:rsidR="0000116B" w:rsidRDefault="0000116B" w:rsidP="0000116B">
      <w:pPr>
        <w:spacing w:after="0" w:line="240" w:lineRule="auto"/>
        <w:ind w:left="993"/>
        <w:jc w:val="both"/>
        <w:rPr>
          <w:b/>
        </w:rPr>
      </w:pPr>
    </w:p>
    <w:p w:rsidR="0000116B" w:rsidRDefault="0000116B" w:rsidP="0000116B">
      <w:pPr>
        <w:spacing w:after="0" w:line="240" w:lineRule="auto"/>
        <w:ind w:left="993"/>
        <w:jc w:val="both"/>
        <w:rPr>
          <w:b/>
        </w:rPr>
      </w:pPr>
    </w:p>
    <w:p w:rsidR="007C68D2" w:rsidRPr="0000116B" w:rsidRDefault="007C68D2" w:rsidP="0000116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0116B">
        <w:rPr>
          <w:b/>
        </w:rPr>
        <w:t>CONSULTAZIONE SUL FOGLIO ILLUSTRATIVO</w:t>
      </w:r>
    </w:p>
    <w:p w:rsidR="0000116B" w:rsidRDefault="0000116B" w:rsidP="00B32D81">
      <w:pPr>
        <w:spacing w:after="0" w:line="240" w:lineRule="auto"/>
        <w:jc w:val="both"/>
      </w:pPr>
    </w:p>
    <w:p w:rsidR="0000116B" w:rsidRDefault="0000116B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12DF7">
        <w:t xml:space="preserve">Il foglio illustrativo è stato sottoposto al test di leggibilità in accordo ai requisiti dell’art. 59(3) e 61(1) della direttiva 2001/83/EU </w:t>
      </w:r>
      <w:proofErr w:type="spellStart"/>
      <w:r w:rsidRPr="00B12DF7">
        <w:t>s.m.i.</w:t>
      </w:r>
      <w:proofErr w:type="spellEnd"/>
      <w:r w:rsidRPr="00B12DF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6C7A1A">
        <w:t>ACIDO CLODRONICO DOC GENERICI</w:t>
      </w:r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0116B"/>
    <w:rsid w:val="00013020"/>
    <w:rsid w:val="00032587"/>
    <w:rsid w:val="00047358"/>
    <w:rsid w:val="00062636"/>
    <w:rsid w:val="00070A74"/>
    <w:rsid w:val="000725FF"/>
    <w:rsid w:val="00092BAB"/>
    <w:rsid w:val="000B6CEA"/>
    <w:rsid w:val="000E0C85"/>
    <w:rsid w:val="00151E0A"/>
    <w:rsid w:val="00156285"/>
    <w:rsid w:val="001750E4"/>
    <w:rsid w:val="001A07F0"/>
    <w:rsid w:val="001C7AD0"/>
    <w:rsid w:val="001D563E"/>
    <w:rsid w:val="001E6F35"/>
    <w:rsid w:val="00240F4C"/>
    <w:rsid w:val="002833EC"/>
    <w:rsid w:val="00283953"/>
    <w:rsid w:val="00293095"/>
    <w:rsid w:val="002C389F"/>
    <w:rsid w:val="002C472F"/>
    <w:rsid w:val="00310B73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4C44"/>
    <w:rsid w:val="0036781E"/>
    <w:rsid w:val="0038218C"/>
    <w:rsid w:val="003A0AA5"/>
    <w:rsid w:val="003A6FA1"/>
    <w:rsid w:val="003D5E5E"/>
    <w:rsid w:val="003F4952"/>
    <w:rsid w:val="004171F6"/>
    <w:rsid w:val="004241AC"/>
    <w:rsid w:val="004261A5"/>
    <w:rsid w:val="004349A2"/>
    <w:rsid w:val="0045169D"/>
    <w:rsid w:val="00452444"/>
    <w:rsid w:val="00494CCF"/>
    <w:rsid w:val="004B20A8"/>
    <w:rsid w:val="004B69C4"/>
    <w:rsid w:val="004C2B07"/>
    <w:rsid w:val="00502AB1"/>
    <w:rsid w:val="00512522"/>
    <w:rsid w:val="00520FDC"/>
    <w:rsid w:val="005211FF"/>
    <w:rsid w:val="005276B9"/>
    <w:rsid w:val="005368CE"/>
    <w:rsid w:val="00556648"/>
    <w:rsid w:val="00564F57"/>
    <w:rsid w:val="005820A7"/>
    <w:rsid w:val="00587D0E"/>
    <w:rsid w:val="00590665"/>
    <w:rsid w:val="00594CD5"/>
    <w:rsid w:val="005A2741"/>
    <w:rsid w:val="005A2B9B"/>
    <w:rsid w:val="005B446C"/>
    <w:rsid w:val="005D53B9"/>
    <w:rsid w:val="006063E6"/>
    <w:rsid w:val="006106D5"/>
    <w:rsid w:val="00623B50"/>
    <w:rsid w:val="006312EE"/>
    <w:rsid w:val="00631675"/>
    <w:rsid w:val="00633428"/>
    <w:rsid w:val="00665921"/>
    <w:rsid w:val="006831C7"/>
    <w:rsid w:val="006959E3"/>
    <w:rsid w:val="006B5DF8"/>
    <w:rsid w:val="006C0E2C"/>
    <w:rsid w:val="006C7A1A"/>
    <w:rsid w:val="00700F7D"/>
    <w:rsid w:val="00716EE9"/>
    <w:rsid w:val="00747E5B"/>
    <w:rsid w:val="00762D88"/>
    <w:rsid w:val="007935FE"/>
    <w:rsid w:val="007C2966"/>
    <w:rsid w:val="007C68D2"/>
    <w:rsid w:val="007D68A8"/>
    <w:rsid w:val="0083545D"/>
    <w:rsid w:val="00852838"/>
    <w:rsid w:val="0085564B"/>
    <w:rsid w:val="00864960"/>
    <w:rsid w:val="0087132D"/>
    <w:rsid w:val="00874568"/>
    <w:rsid w:val="008A24CC"/>
    <w:rsid w:val="00900DAA"/>
    <w:rsid w:val="00906180"/>
    <w:rsid w:val="009361B2"/>
    <w:rsid w:val="00972C6A"/>
    <w:rsid w:val="00982EDD"/>
    <w:rsid w:val="009A1E3E"/>
    <w:rsid w:val="009A260F"/>
    <w:rsid w:val="009A3BA6"/>
    <w:rsid w:val="009C5CC3"/>
    <w:rsid w:val="009F0F0B"/>
    <w:rsid w:val="00A52DC4"/>
    <w:rsid w:val="00A642C7"/>
    <w:rsid w:val="00A719C2"/>
    <w:rsid w:val="00AB02E2"/>
    <w:rsid w:val="00AE7A98"/>
    <w:rsid w:val="00AF171E"/>
    <w:rsid w:val="00B07EF8"/>
    <w:rsid w:val="00B12739"/>
    <w:rsid w:val="00B12DF7"/>
    <w:rsid w:val="00B27FD9"/>
    <w:rsid w:val="00B30CB8"/>
    <w:rsid w:val="00B329D4"/>
    <w:rsid w:val="00B32D81"/>
    <w:rsid w:val="00B35BAB"/>
    <w:rsid w:val="00B362D7"/>
    <w:rsid w:val="00B40B5B"/>
    <w:rsid w:val="00B5510E"/>
    <w:rsid w:val="00B75D1D"/>
    <w:rsid w:val="00B75EA4"/>
    <w:rsid w:val="00B82FD1"/>
    <w:rsid w:val="00B96D89"/>
    <w:rsid w:val="00BD1173"/>
    <w:rsid w:val="00BD1200"/>
    <w:rsid w:val="00C00425"/>
    <w:rsid w:val="00C31AF0"/>
    <w:rsid w:val="00C33A16"/>
    <w:rsid w:val="00C55B9A"/>
    <w:rsid w:val="00C630E2"/>
    <w:rsid w:val="00C75C50"/>
    <w:rsid w:val="00C8171A"/>
    <w:rsid w:val="00C87C2E"/>
    <w:rsid w:val="00CA29BF"/>
    <w:rsid w:val="00CC7AFF"/>
    <w:rsid w:val="00CE5C72"/>
    <w:rsid w:val="00D07C5C"/>
    <w:rsid w:val="00D103AB"/>
    <w:rsid w:val="00D172B7"/>
    <w:rsid w:val="00D20170"/>
    <w:rsid w:val="00D419A0"/>
    <w:rsid w:val="00D47411"/>
    <w:rsid w:val="00D57567"/>
    <w:rsid w:val="00D60FC1"/>
    <w:rsid w:val="00D745C6"/>
    <w:rsid w:val="00D8197E"/>
    <w:rsid w:val="00D92C93"/>
    <w:rsid w:val="00D97736"/>
    <w:rsid w:val="00DA1945"/>
    <w:rsid w:val="00DC0AB6"/>
    <w:rsid w:val="00DC5BE2"/>
    <w:rsid w:val="00DE79A0"/>
    <w:rsid w:val="00E14380"/>
    <w:rsid w:val="00E21095"/>
    <w:rsid w:val="00E22AEF"/>
    <w:rsid w:val="00E43089"/>
    <w:rsid w:val="00E61896"/>
    <w:rsid w:val="00E74440"/>
    <w:rsid w:val="00E7486A"/>
    <w:rsid w:val="00E752F3"/>
    <w:rsid w:val="00E95CA3"/>
    <w:rsid w:val="00EE1FA2"/>
    <w:rsid w:val="00F01FB3"/>
    <w:rsid w:val="00F2215C"/>
    <w:rsid w:val="00F22BED"/>
    <w:rsid w:val="00F4168A"/>
    <w:rsid w:val="00F9209F"/>
    <w:rsid w:val="00FA2702"/>
    <w:rsid w:val="00FA53E0"/>
    <w:rsid w:val="00FA55B0"/>
    <w:rsid w:val="00FC5097"/>
    <w:rsid w:val="00FE17AD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uiPriority w:val="99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2770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12</cp:revision>
  <dcterms:created xsi:type="dcterms:W3CDTF">2018-12-20T13:30:00Z</dcterms:created>
  <dcterms:modified xsi:type="dcterms:W3CDTF">2019-01-16T11:19:00Z</dcterms:modified>
</cp:coreProperties>
</file>