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895F0D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2695" w:rsidRDefault="0066269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5E2E8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THIOMED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E2E89">
        <w:rPr>
          <w:snapToGrid w:val="0"/>
        </w:rPr>
        <w:t>Glutatione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5E2E8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Esseti</w:t>
      </w:r>
      <w:proofErr w:type="spellEnd"/>
      <w:r>
        <w:rPr>
          <w:b/>
        </w:rPr>
        <w:t xml:space="preserve"> Farmaceutici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E2E89">
        <w:rPr>
          <w:rFonts w:cs="Helvetica"/>
          <w:b/>
        </w:rPr>
        <w:t>041757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81652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16525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16525">
        <w:rPr>
          <w:rFonts w:eastAsia="Calibri" w:cs="Calibri"/>
          <w:color w:val="000000"/>
          <w:lang w:eastAsia="it-IT"/>
        </w:rPr>
        <w:t xml:space="preserve">Questa è la sintesi del </w:t>
      </w:r>
      <w:r w:rsidRPr="0081652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81652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816525">
        <w:rPr>
          <w:rFonts w:eastAsia="Calibri" w:cs="Calibri"/>
          <w:i/>
          <w:color w:val="000000"/>
          <w:lang w:eastAsia="it-IT"/>
        </w:rPr>
        <w:t xml:space="preserve"> Report</w:t>
      </w:r>
      <w:r w:rsidRPr="00816525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5E2E89"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Pr="00816525">
        <w:rPr>
          <w:rFonts w:eastAsia="Calibri" w:cs="Calibri"/>
          <w:color w:val="000000"/>
          <w:lang w:eastAsia="it-IT"/>
        </w:rPr>
        <w:t>.</w:t>
      </w:r>
      <w:r w:rsidRPr="00816525">
        <w:rPr>
          <w:rFonts w:eastAsia="Calibri" w:cs="Calibri"/>
          <w:bCs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5E2E89"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="00062636" w:rsidRPr="00816525">
        <w:rPr>
          <w:rFonts w:eastAsia="Calibri" w:cs="Calibri"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444157" w:rsidRPr="00816525">
        <w:rPr>
          <w:rFonts w:eastAsia="Calibri" w:cs="Calibri"/>
          <w:color w:val="000000"/>
          <w:lang w:eastAsia="it-IT"/>
        </w:rPr>
        <w:t>e le sue condizioni di impiego</w:t>
      </w:r>
      <w:r w:rsidRPr="00816525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5E2E89"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Pr="00816525">
        <w:rPr>
          <w:rFonts w:eastAsia="Calibri" w:cs="Calibri"/>
          <w:bCs/>
          <w:color w:val="000000"/>
          <w:lang w:eastAsia="it-IT"/>
        </w:rPr>
        <w:t>.</w:t>
      </w:r>
    </w:p>
    <w:p w:rsidR="004241AC" w:rsidRPr="00816525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16525">
        <w:rPr>
          <w:rFonts w:eastAsia="Calibri" w:cs="Calibri"/>
          <w:color w:val="000000"/>
          <w:lang w:eastAsia="it-IT"/>
        </w:rPr>
        <w:t>Per informazioni pratiche sull'utilizzo di</w:t>
      </w:r>
      <w:r w:rsidRPr="008165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5E2E89"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="00062636" w:rsidRPr="00816525">
        <w:rPr>
          <w:rFonts w:eastAsia="Calibri" w:cs="Calibri"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16525">
        <w:rPr>
          <w:rFonts w:eastAsia="Calibri" w:cs="Calibri"/>
          <w:color w:val="000000"/>
          <w:lang w:eastAsia="it-IT"/>
        </w:rPr>
        <w:t xml:space="preserve">il </w:t>
      </w:r>
      <w:r w:rsidRPr="00816525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16525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16525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16525" w:rsidRDefault="004241AC" w:rsidP="004D13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1652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5E2E89" w:rsidRPr="00816525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="00E83F8D" w:rsidRPr="00816525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4D13C9" w:rsidRPr="00816525">
        <w:rPr>
          <w:rFonts w:eastAsia="Calibri" w:cs="Calibri"/>
          <w:b/>
          <w:bCs/>
          <w:color w:val="000000"/>
          <w:lang w:eastAsia="it-IT"/>
        </w:rPr>
        <w:t>E A COSA SERVE</w:t>
      </w:r>
      <w:r w:rsidRPr="008165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816525" w:rsidRDefault="005E2E89" w:rsidP="00816525">
      <w:pPr>
        <w:widowControl w:val="0"/>
        <w:spacing w:after="0" w:line="240" w:lineRule="auto"/>
        <w:jc w:val="both"/>
      </w:pPr>
      <w:proofErr w:type="spellStart"/>
      <w:r w:rsidRPr="00816525">
        <w:rPr>
          <w:rFonts w:eastAsia="Calibri" w:cs="Calibri"/>
          <w:bCs/>
          <w:color w:val="000000"/>
          <w:lang w:eastAsia="it-IT"/>
        </w:rPr>
        <w:t>Thiomed</w:t>
      </w:r>
      <w:proofErr w:type="spellEnd"/>
      <w:r w:rsidR="00E83F8D" w:rsidRPr="00816525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816525">
        <w:rPr>
          <w:rFonts w:eastAsia="Calibri" w:cs="Calibri"/>
          <w:color w:val="000000"/>
          <w:lang w:eastAsia="it-IT"/>
        </w:rPr>
        <w:t>i</w:t>
      </w:r>
      <w:r w:rsidRPr="00816525">
        <w:rPr>
          <w:rFonts w:eastAsia="Calibri" w:cs="Calibri"/>
          <w:color w:val="000000"/>
          <w:lang w:eastAsia="it-IT"/>
        </w:rPr>
        <w:t>l</w:t>
      </w:r>
      <w:r w:rsidR="004241AC" w:rsidRPr="00816525">
        <w:rPr>
          <w:rFonts w:eastAsia="Calibri" w:cs="Calibri"/>
          <w:color w:val="000000"/>
          <w:lang w:eastAsia="it-IT"/>
        </w:rPr>
        <w:t xml:space="preserve"> principi</w:t>
      </w:r>
      <w:r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attiv</w:t>
      </w:r>
      <w:r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16525">
        <w:rPr>
          <w:rFonts w:eastAsia="Calibri" w:cs="Calibri"/>
          <w:color w:val="000000"/>
          <w:lang w:eastAsia="it-IT"/>
        </w:rPr>
        <w:t>glutatione</w:t>
      </w:r>
      <w:proofErr w:type="spellEnd"/>
      <w:r w:rsidRPr="00816525">
        <w:rPr>
          <w:rFonts w:eastAsia="Calibri" w:cs="Calibri"/>
          <w:color w:val="000000"/>
          <w:lang w:eastAsia="it-IT"/>
        </w:rPr>
        <w:t xml:space="preserve"> </w:t>
      </w:r>
      <w:r w:rsidR="00214672" w:rsidRPr="00816525">
        <w:rPr>
          <w:rFonts w:eastAsia="Calibri" w:cs="Calibri"/>
          <w:color w:val="000000"/>
          <w:lang w:eastAsia="it-IT"/>
        </w:rPr>
        <w:t xml:space="preserve">ed </w:t>
      </w:r>
      <w:r w:rsidR="004241AC" w:rsidRPr="00816525">
        <w:rPr>
          <w:rFonts w:eastAsia="Calibri" w:cs="Calibri"/>
          <w:color w:val="000000"/>
          <w:lang w:eastAsia="it-IT"/>
        </w:rPr>
        <w:t xml:space="preserve">è disponibile </w:t>
      </w:r>
      <w:r w:rsidR="00965735" w:rsidRPr="00816525">
        <w:rPr>
          <w:rFonts w:eastAsia="Calibri" w:cs="Calibri"/>
          <w:color w:val="000000"/>
          <w:lang w:eastAsia="it-IT"/>
        </w:rPr>
        <w:t>come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r w:rsidR="004D13C9" w:rsidRPr="00816525">
        <w:rPr>
          <w:rFonts w:eastAsia="Calibri" w:cs="Calibri"/>
          <w:color w:val="000000"/>
          <w:lang w:eastAsia="it-IT"/>
        </w:rPr>
        <w:t>soluzione iniettabile (la confezione contiene flaconcin</w:t>
      </w:r>
      <w:r w:rsidR="00F60B8A">
        <w:rPr>
          <w:rFonts w:eastAsia="Calibri" w:cs="Calibri"/>
          <w:color w:val="000000"/>
          <w:lang w:eastAsia="it-IT"/>
        </w:rPr>
        <w:t>i</w:t>
      </w:r>
      <w:r w:rsidR="004D13C9" w:rsidRPr="00816525">
        <w:rPr>
          <w:rFonts w:eastAsia="Calibri" w:cs="Calibri"/>
          <w:color w:val="000000"/>
          <w:lang w:eastAsia="it-IT"/>
        </w:rPr>
        <w:t xml:space="preserve"> di polvere e fial</w:t>
      </w:r>
      <w:r w:rsidR="00F60B8A">
        <w:rPr>
          <w:rFonts w:eastAsia="Calibri" w:cs="Calibri"/>
          <w:color w:val="000000"/>
          <w:lang w:eastAsia="it-IT"/>
        </w:rPr>
        <w:t>e</w:t>
      </w:r>
      <w:r w:rsidR="004D13C9" w:rsidRPr="00816525">
        <w:rPr>
          <w:rFonts w:eastAsia="Calibri" w:cs="Calibri"/>
          <w:color w:val="000000"/>
          <w:lang w:eastAsia="it-IT"/>
        </w:rPr>
        <w:t xml:space="preserve"> di solvente)</w:t>
      </w:r>
      <w:r w:rsidR="005D4EA7" w:rsidRPr="00816525">
        <w:rPr>
          <w:rFonts w:eastAsia="Calibri" w:cs="Calibri"/>
          <w:color w:val="000000"/>
          <w:lang w:eastAsia="it-IT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>contenent</w:t>
      </w:r>
      <w:r w:rsidR="004D13C9" w:rsidRPr="00816525">
        <w:rPr>
          <w:rFonts w:eastAsia="Calibri" w:cs="Calibri"/>
          <w:color w:val="000000"/>
          <w:lang w:eastAsia="it-IT"/>
        </w:rPr>
        <w:t>e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>600 mg</w:t>
      </w:r>
      <w:r w:rsidR="00947492" w:rsidRPr="00816525">
        <w:rPr>
          <w:rFonts w:eastAsia="Calibri" w:cs="Calibri"/>
          <w:color w:val="000000"/>
          <w:lang w:eastAsia="it-IT"/>
        </w:rPr>
        <w:t xml:space="preserve"> di</w:t>
      </w:r>
      <w:r w:rsidR="00965735" w:rsidRPr="00816525">
        <w:rPr>
          <w:rFonts w:eastAsia="Calibri" w:cs="Calibri"/>
          <w:color w:val="000000"/>
          <w:lang w:eastAsia="it-IT"/>
        </w:rPr>
        <w:t xml:space="preserve"> </w:t>
      </w:r>
      <w:r w:rsidRPr="00816525">
        <w:rPr>
          <w:rFonts w:eastAsia="Calibri" w:cs="Calibri"/>
          <w:color w:val="000000"/>
          <w:lang w:eastAsia="it-IT"/>
        </w:rPr>
        <w:t>principio attivo.</w:t>
      </w:r>
    </w:p>
    <w:p w:rsidR="002122E2" w:rsidRPr="00816525" w:rsidRDefault="005E2E89" w:rsidP="00816525">
      <w:pPr>
        <w:widowControl w:val="0"/>
        <w:spacing w:after="0" w:line="240" w:lineRule="auto"/>
        <w:jc w:val="both"/>
      </w:pPr>
      <w:proofErr w:type="spellStart"/>
      <w:r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="00E83F8D" w:rsidRPr="00816525">
        <w:rPr>
          <w:rFonts w:eastAsia="Calibri" w:cs="Calibri"/>
          <w:color w:val="000000"/>
          <w:lang w:eastAsia="it-IT"/>
        </w:rPr>
        <w:t xml:space="preserve"> </w:t>
      </w:r>
      <w:r w:rsidR="00013020" w:rsidRPr="0081652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816525">
        <w:rPr>
          <w:rFonts w:eastAsia="Calibri" w:cs="Calibri"/>
          <w:color w:val="000000"/>
          <w:lang w:eastAsia="it-IT"/>
        </w:rPr>
        <w:t>Italia</w:t>
      </w:r>
      <w:r w:rsidR="00013020" w:rsidRPr="00816525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816525">
        <w:rPr>
          <w:rFonts w:eastAsia="Calibri" w:cs="Calibri"/>
          <w:color w:val="000000"/>
          <w:lang w:eastAsia="it-IT"/>
        </w:rPr>
        <w:t>Tationil</w:t>
      </w:r>
      <w:proofErr w:type="spellEnd"/>
      <w:r w:rsidR="002122E2" w:rsidRPr="00816525">
        <w:rPr>
          <w:rFonts w:eastAsia="Calibri" w:cs="Calibri"/>
          <w:color w:val="000000"/>
          <w:lang w:eastAsia="it-IT"/>
        </w:rPr>
        <w:t>.</w:t>
      </w:r>
    </w:p>
    <w:p w:rsidR="008A4F11" w:rsidRPr="00816525" w:rsidRDefault="005E2E89" w:rsidP="00816525">
      <w:pPr>
        <w:suppressAutoHyphens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="00E83F8D" w:rsidRPr="00816525">
        <w:rPr>
          <w:rFonts w:eastAsia="Calibri" w:cs="Calibri"/>
          <w:color w:val="000000"/>
          <w:lang w:eastAsia="it-IT"/>
        </w:rPr>
        <w:t xml:space="preserve"> </w:t>
      </w:r>
      <w:r w:rsidR="00947492" w:rsidRPr="00816525">
        <w:rPr>
          <w:rFonts w:eastAsia="Calibri" w:cs="Calibri"/>
          <w:color w:val="000000"/>
          <w:lang w:eastAsia="it-IT"/>
        </w:rPr>
        <w:t>si usa</w:t>
      </w:r>
      <w:r w:rsidR="00816525" w:rsidRPr="00816525">
        <w:rPr>
          <w:rFonts w:eastAsia="Calibri" w:cs="Calibri"/>
          <w:color w:val="000000"/>
          <w:lang w:eastAsia="it-IT"/>
        </w:rPr>
        <w:t xml:space="preserve"> negli adulti per la prevenzione </w:t>
      </w:r>
      <w:r w:rsidRPr="00816525">
        <w:rPr>
          <w:noProof/>
        </w:rPr>
        <w:t>della neuropatia</w:t>
      </w:r>
      <w:r w:rsidRPr="00816525">
        <w:rPr>
          <w:b/>
          <w:i/>
          <w:noProof/>
        </w:rPr>
        <w:t xml:space="preserve"> </w:t>
      </w:r>
      <w:r w:rsidR="00816525" w:rsidRPr="00816525">
        <w:rPr>
          <w:noProof/>
        </w:rPr>
        <w:t>(</w:t>
      </w:r>
      <w:r w:rsidR="00816525" w:rsidRPr="00816525">
        <w:rPr>
          <w:rFonts w:cs="Arial"/>
          <w:color w:val="000000"/>
          <w:shd w:val="clear" w:color="auto" w:fill="FFFFFF"/>
        </w:rPr>
        <w:t xml:space="preserve">che si manifesta con alterazioni della sensibilità, formicolii, sensazione come di punture di aghi soprattutto alle mani e ai piedi) </w:t>
      </w:r>
      <w:r w:rsidRPr="00816525">
        <w:rPr>
          <w:noProof/>
        </w:rPr>
        <w:t xml:space="preserve">conseguente a </w:t>
      </w:r>
      <w:r w:rsidR="00816525" w:rsidRPr="00816525">
        <w:rPr>
          <w:noProof/>
        </w:rPr>
        <w:t>chemioterapia</w:t>
      </w:r>
      <w:r w:rsidRPr="00816525">
        <w:rPr>
          <w:noProof/>
        </w:rPr>
        <w:t xml:space="preserve"> con cisplatino o </w:t>
      </w:r>
      <w:r w:rsidR="00816525" w:rsidRPr="00816525">
        <w:rPr>
          <w:noProof/>
        </w:rPr>
        <w:t xml:space="preserve">medicinali </w:t>
      </w:r>
      <w:r w:rsidRPr="00816525">
        <w:rPr>
          <w:noProof/>
        </w:rPr>
        <w:t>analoghi</w:t>
      </w:r>
      <w:r w:rsidR="00816525" w:rsidRPr="00816525">
        <w:rPr>
          <w:noProof/>
        </w:rPr>
        <w:t>.</w:t>
      </w:r>
    </w:p>
    <w:p w:rsidR="00816525" w:rsidRPr="00816525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16525" w:rsidRPr="00816525" w:rsidRDefault="00816525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816525" w:rsidRDefault="004241AC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16525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5E2E89" w:rsidRPr="00816525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Pr="00816525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16525" w:rsidRDefault="005E2E89" w:rsidP="0081652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816525">
        <w:rPr>
          <w:rFonts w:eastAsia="Calibri" w:cs="Calibri"/>
          <w:color w:val="000000"/>
          <w:lang w:eastAsia="it-IT"/>
        </w:rPr>
        <w:t>Thiomed</w:t>
      </w:r>
      <w:proofErr w:type="spellEnd"/>
      <w:r w:rsidR="00214672" w:rsidRPr="00816525">
        <w:rPr>
          <w:rFonts w:eastAsia="Calibri" w:cs="Calibri"/>
          <w:color w:val="000000"/>
          <w:lang w:eastAsia="it-IT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16525" w:rsidRPr="00816525" w:rsidRDefault="00816525" w:rsidP="00816525">
      <w:pPr>
        <w:spacing w:after="0" w:line="240" w:lineRule="auto"/>
        <w:jc w:val="both"/>
        <w:outlineLvl w:val="2"/>
      </w:pPr>
      <w:r w:rsidRPr="00816525">
        <w:t xml:space="preserve">La dose giornaliera raccomandata negli adulti è di </w:t>
      </w:r>
      <w:r w:rsidRPr="00816525">
        <w:rPr>
          <w:rFonts w:ascii="Calibri" w:hAnsi="Calibri"/>
        </w:rPr>
        <w:t>1-2 flaconcini per somministrazione intramuscolare o endovenosa lenta o per infusione endovenosa.</w:t>
      </w:r>
    </w:p>
    <w:p w:rsidR="005E2E89" w:rsidRPr="00816525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816525">
        <w:t>I</w:t>
      </w:r>
      <w:r w:rsidR="005E2E89" w:rsidRPr="00816525">
        <w:t>l contenuto del flaconcino deve essere disciolto nel solvente presente nella fiala annessa</w:t>
      </w:r>
      <w:r w:rsidRPr="00816525">
        <w:t xml:space="preserve"> alla confezione; in caso di </w:t>
      </w:r>
      <w:r w:rsidR="005E2E89" w:rsidRPr="00816525">
        <w:t xml:space="preserve">somministrazione per infusione endovenosa, </w:t>
      </w:r>
      <w:r w:rsidRPr="00816525">
        <w:t>questa</w:t>
      </w:r>
      <w:r w:rsidR="005E2E89" w:rsidRPr="00816525">
        <w:t xml:space="preserve"> soluzione deve essere ulteriormente diluita in acqua per preparazioni iniettabili.</w:t>
      </w:r>
      <w:r w:rsidRPr="00816525">
        <w:t xml:space="preserve"> </w:t>
      </w:r>
      <w:r w:rsidR="005E2E89" w:rsidRPr="00816525">
        <w:rPr>
          <w:rFonts w:ascii="Calibri" w:hAnsi="Calibri"/>
        </w:rPr>
        <w:t>La soluzione ricostituita deve essere utilizzata immediatamente dopo la preparazione.</w:t>
      </w:r>
    </w:p>
    <w:p w:rsidR="005E2E89" w:rsidRPr="00816525" w:rsidRDefault="00816525" w:rsidP="00816525">
      <w:pPr>
        <w:spacing w:after="0" w:line="240" w:lineRule="auto"/>
        <w:jc w:val="both"/>
        <w:outlineLvl w:val="2"/>
        <w:rPr>
          <w:rFonts w:ascii="Calibri" w:hAnsi="Calibri"/>
        </w:rPr>
      </w:pPr>
      <w:r w:rsidRPr="00816525">
        <w:rPr>
          <w:rFonts w:ascii="Calibri" w:hAnsi="Calibri"/>
        </w:rPr>
        <w:t>Questo medicinal</w:t>
      </w:r>
      <w:r>
        <w:rPr>
          <w:rFonts w:ascii="Calibri" w:hAnsi="Calibri"/>
        </w:rPr>
        <w:t>e</w:t>
      </w:r>
      <w:r w:rsidRPr="00816525">
        <w:rPr>
          <w:rFonts w:ascii="Calibri" w:hAnsi="Calibri"/>
        </w:rPr>
        <w:t xml:space="preserve"> non è raccomandato n</w:t>
      </w:r>
      <w:r w:rsidR="005E2E89" w:rsidRPr="00816525">
        <w:rPr>
          <w:rFonts w:ascii="Calibri" w:hAnsi="Calibri"/>
        </w:rPr>
        <w:t>ei bambini</w:t>
      </w:r>
      <w:r w:rsidRPr="00816525">
        <w:rPr>
          <w:rFonts w:ascii="Calibri" w:hAnsi="Calibri"/>
        </w:rPr>
        <w:t xml:space="preserve"> e negli adolescenti (età inferiore a 18 anni) in quanto</w:t>
      </w:r>
      <w:r w:rsidR="005E2E89" w:rsidRPr="00816525">
        <w:rPr>
          <w:rFonts w:ascii="Calibri" w:hAnsi="Calibri"/>
        </w:rPr>
        <w:t xml:space="preserve"> la sicurezza e l'efficacia non sono state </w:t>
      </w:r>
      <w:r w:rsidRPr="00816525">
        <w:rPr>
          <w:rFonts w:ascii="Calibri" w:hAnsi="Calibri"/>
        </w:rPr>
        <w:t>definite in questa fascia di età</w:t>
      </w:r>
      <w:r w:rsidR="005E2E89" w:rsidRPr="00816525">
        <w:rPr>
          <w:rFonts w:ascii="Calibri" w:hAnsi="Calibri"/>
        </w:rPr>
        <w:t>.</w:t>
      </w:r>
    </w:p>
    <w:p w:rsidR="000766E7" w:rsidRDefault="000766E7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816525" w:rsidRDefault="004241AC" w:rsidP="008165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16525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5E2E89" w:rsidRPr="00816525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Pr="0081652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16525" w:rsidRPr="00E979CF" w:rsidRDefault="005E2E89" w:rsidP="00816525">
      <w:pPr>
        <w:spacing w:after="0" w:line="240" w:lineRule="auto"/>
        <w:jc w:val="both"/>
        <w:rPr>
          <w:rFonts w:ascii="Calibri" w:hAnsi="Calibri"/>
        </w:rPr>
      </w:pPr>
      <w:proofErr w:type="spellStart"/>
      <w:r w:rsidRPr="00816525">
        <w:rPr>
          <w:rFonts w:eastAsia="Calibri" w:cs="Calibri"/>
          <w:bCs/>
          <w:color w:val="000000"/>
          <w:lang w:eastAsia="it-IT"/>
        </w:rPr>
        <w:t>Thiomed</w:t>
      </w:r>
      <w:proofErr w:type="spellEnd"/>
      <w:r w:rsidR="000256A8" w:rsidRPr="00816525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816525">
        <w:rPr>
          <w:rFonts w:ascii="Calibri" w:hAnsi="Calibri"/>
        </w:rPr>
        <w:t>V03AB32</w:t>
      </w:r>
      <w:r w:rsidR="000256A8" w:rsidRPr="00816525">
        <w:rPr>
          <w:rFonts w:eastAsia="Times New Roman"/>
          <w:lang w:eastAsia="it-IT"/>
        </w:rPr>
        <w:t>,</w:t>
      </w:r>
      <w:r w:rsidR="00E43089" w:rsidRPr="00816525">
        <w:rPr>
          <w:rFonts w:eastAsia="DejaVuSans" w:cs="DejaVuSans"/>
        </w:rPr>
        <w:t xml:space="preserve"> </w:t>
      </w:r>
      <w:r w:rsidR="004241AC" w:rsidRPr="00816525">
        <w:rPr>
          <w:rFonts w:eastAsia="Calibri" w:cs="Calibri"/>
          <w:color w:val="000000"/>
          <w:lang w:eastAsia="it-IT"/>
        </w:rPr>
        <w:t>contiene i</w:t>
      </w:r>
      <w:r w:rsidR="00816525" w:rsidRPr="00816525">
        <w:rPr>
          <w:rFonts w:eastAsia="Calibri" w:cs="Calibri"/>
          <w:color w:val="000000"/>
          <w:lang w:eastAsia="it-IT"/>
        </w:rPr>
        <w:t>l</w:t>
      </w:r>
      <w:r w:rsidR="004241AC" w:rsidRPr="00816525">
        <w:rPr>
          <w:rFonts w:eastAsia="Calibri" w:cs="Calibri"/>
          <w:color w:val="000000"/>
          <w:lang w:eastAsia="it-IT"/>
        </w:rPr>
        <w:t xml:space="preserve"> principi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attiv</w:t>
      </w:r>
      <w:r w:rsidR="00816525" w:rsidRPr="00816525">
        <w:rPr>
          <w:rFonts w:eastAsia="Calibri" w:cs="Calibri"/>
          <w:color w:val="000000"/>
          <w:lang w:eastAsia="it-IT"/>
        </w:rPr>
        <w:t>o</w:t>
      </w:r>
      <w:r w:rsidR="004241AC" w:rsidRPr="0081652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816525">
        <w:rPr>
          <w:rFonts w:eastAsia="Calibri" w:cs="Calibri"/>
          <w:color w:val="000000"/>
          <w:lang w:eastAsia="it-IT"/>
        </w:rPr>
        <w:t>glutatione</w:t>
      </w:r>
      <w:proofErr w:type="spellEnd"/>
      <w:r w:rsidR="00816525" w:rsidRPr="00816525">
        <w:rPr>
          <w:rFonts w:eastAsia="Calibri" w:cs="Calibri"/>
          <w:color w:val="000000"/>
          <w:lang w:eastAsia="it-IT"/>
        </w:rPr>
        <w:t xml:space="preserve"> che </w:t>
      </w:r>
      <w:r w:rsidRPr="00816525">
        <w:rPr>
          <w:rFonts w:ascii="Calibri" w:hAnsi="Calibri"/>
        </w:rPr>
        <w:t xml:space="preserve">interviene in numerosi processi biologici e svolge un ruolo importante </w:t>
      </w:r>
      <w:r w:rsidR="00816525" w:rsidRPr="00816525">
        <w:rPr>
          <w:rFonts w:ascii="Calibri" w:hAnsi="Calibri"/>
        </w:rPr>
        <w:t>nella protezione delle</w:t>
      </w:r>
      <w:r w:rsidRPr="00816525">
        <w:rPr>
          <w:rFonts w:ascii="Calibri" w:hAnsi="Calibri"/>
        </w:rPr>
        <w:t xml:space="preserve"> cellule dall’azione nociva di </w:t>
      </w:r>
      <w:r w:rsidR="00816525" w:rsidRPr="00816525">
        <w:rPr>
          <w:rFonts w:ascii="Calibri" w:hAnsi="Calibri"/>
        </w:rPr>
        <w:t>farmaci (come quelli usati nella chemioterapia)</w:t>
      </w:r>
      <w:r w:rsidRPr="00816525">
        <w:rPr>
          <w:rFonts w:ascii="Calibri" w:hAnsi="Calibri"/>
        </w:rPr>
        <w:t>, di ossidanti ambientali e intracellulari (</w:t>
      </w:r>
      <w:r w:rsidR="00816525" w:rsidRPr="00816525">
        <w:rPr>
          <w:rFonts w:ascii="Calibri" w:hAnsi="Calibri"/>
        </w:rPr>
        <w:t xml:space="preserve">ad esempio, i </w:t>
      </w:r>
      <w:r w:rsidRPr="00816525">
        <w:rPr>
          <w:rFonts w:ascii="Calibri" w:hAnsi="Calibri"/>
        </w:rPr>
        <w:t xml:space="preserve">radicali liberi). </w:t>
      </w:r>
      <w:r w:rsidR="00816525" w:rsidRPr="00816525">
        <w:rPr>
          <w:rFonts w:ascii="Calibri" w:hAnsi="Calibri"/>
        </w:rPr>
        <w:t xml:space="preserve">Il </w:t>
      </w:r>
      <w:proofErr w:type="spellStart"/>
      <w:r w:rsidR="00816525" w:rsidRPr="00816525">
        <w:rPr>
          <w:rFonts w:ascii="Calibri" w:hAnsi="Calibri"/>
        </w:rPr>
        <w:t>glutatione</w:t>
      </w:r>
      <w:proofErr w:type="spellEnd"/>
      <w:r w:rsidR="00816525" w:rsidRPr="00816525">
        <w:rPr>
          <w:rFonts w:ascii="Calibri" w:hAnsi="Calibri"/>
        </w:rPr>
        <w:t xml:space="preserve"> reagisce, infatti, con numeros</w:t>
      </w:r>
      <w:r w:rsidR="00F60B8A">
        <w:rPr>
          <w:rFonts w:ascii="Calibri" w:hAnsi="Calibri"/>
        </w:rPr>
        <w:t>e</w:t>
      </w:r>
      <w:r w:rsidR="00816525" w:rsidRPr="00816525">
        <w:rPr>
          <w:rFonts w:ascii="Calibri" w:hAnsi="Calibri"/>
        </w:rPr>
        <w:t xml:space="preserve"> sostanze organiche, dando origine a composti </w:t>
      </w:r>
      <w:r w:rsidR="00816525" w:rsidRPr="00E979CF">
        <w:rPr>
          <w:rFonts w:ascii="Calibri" w:hAnsi="Calibri"/>
        </w:rPr>
        <w:t>meno tossici che possono essere più facilmente eliminati dall’organismo.</w:t>
      </w:r>
    </w:p>
    <w:p w:rsidR="00816525" w:rsidRPr="00E979CF" w:rsidRDefault="00816525" w:rsidP="00816525">
      <w:pPr>
        <w:spacing w:after="0" w:line="240" w:lineRule="auto"/>
        <w:jc w:val="both"/>
        <w:outlineLvl w:val="1"/>
        <w:rPr>
          <w:rFonts w:ascii="Calibri" w:hAnsi="Calibri"/>
        </w:rPr>
      </w:pPr>
      <w:r w:rsidRPr="00E979CF">
        <w:rPr>
          <w:rFonts w:ascii="Calibri" w:hAnsi="Calibri"/>
        </w:rPr>
        <w:t>In particolare,</w:t>
      </w:r>
      <w:r w:rsidR="00E979CF" w:rsidRPr="00E979CF">
        <w:rPr>
          <w:rFonts w:ascii="Calibri" w:hAnsi="Calibri"/>
        </w:rPr>
        <w:t xml:space="preserve"> si ritiene che</w:t>
      </w:r>
      <w:r w:rsidRPr="00E979CF">
        <w:rPr>
          <w:rFonts w:ascii="Calibri" w:hAnsi="Calibri"/>
        </w:rPr>
        <w:t xml:space="preserve"> la </w:t>
      </w:r>
      <w:proofErr w:type="spellStart"/>
      <w:r w:rsidRPr="00E979CF">
        <w:rPr>
          <w:rFonts w:ascii="Calibri" w:hAnsi="Calibri"/>
        </w:rPr>
        <w:t>neurotossicità</w:t>
      </w:r>
      <w:proofErr w:type="spellEnd"/>
      <w:r w:rsidRPr="00E979CF">
        <w:rPr>
          <w:rFonts w:ascii="Calibri" w:hAnsi="Calibri"/>
        </w:rPr>
        <w:t xml:space="preserve"> da chemioterapici come </w:t>
      </w:r>
      <w:proofErr w:type="spellStart"/>
      <w:r w:rsidRPr="00E979CF">
        <w:rPr>
          <w:rFonts w:ascii="Calibri" w:hAnsi="Calibri"/>
        </w:rPr>
        <w:t>cisplatino</w:t>
      </w:r>
      <w:proofErr w:type="spellEnd"/>
      <w:r w:rsidRPr="00E979CF">
        <w:rPr>
          <w:rFonts w:ascii="Calibri" w:hAnsi="Calibri"/>
        </w:rPr>
        <w:t xml:space="preserve"> e derivati sia dovuta all’accumulo di platino nel sistema nervoso periferico</w:t>
      </w:r>
      <w:r w:rsidR="00E979CF" w:rsidRPr="00E979CF">
        <w:rPr>
          <w:rFonts w:ascii="Calibri" w:hAnsi="Calibri"/>
        </w:rPr>
        <w:t xml:space="preserve">: il </w:t>
      </w:r>
      <w:proofErr w:type="spellStart"/>
      <w:r w:rsidRPr="00E979CF">
        <w:rPr>
          <w:rFonts w:ascii="Calibri" w:hAnsi="Calibri"/>
        </w:rPr>
        <w:t>glutatione</w:t>
      </w:r>
      <w:proofErr w:type="spellEnd"/>
      <w:r w:rsidRPr="00E979CF">
        <w:rPr>
          <w:rFonts w:ascii="Calibri" w:hAnsi="Calibri"/>
        </w:rPr>
        <w:t xml:space="preserve"> è in grado di prevenire l’accumulo iniziale di platino </w:t>
      </w:r>
      <w:r w:rsidR="00E979CF" w:rsidRPr="00E979CF">
        <w:rPr>
          <w:rFonts w:ascii="Calibri" w:hAnsi="Calibri"/>
        </w:rPr>
        <w:t>nei nervi, prevenendo la neuropatia</w:t>
      </w:r>
      <w:r w:rsidRPr="00E979CF">
        <w:rPr>
          <w:rFonts w:ascii="Calibri" w:hAnsi="Calibri"/>
        </w:rPr>
        <w:t>.</w:t>
      </w: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816525" w:rsidRPr="00816525" w:rsidRDefault="00816525" w:rsidP="00816525">
      <w:pPr>
        <w:suppressAutoHyphens/>
        <w:spacing w:after="0" w:line="240" w:lineRule="auto"/>
        <w:jc w:val="both"/>
        <w:rPr>
          <w:rFonts w:ascii="Calibri" w:hAnsi="Calibri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5E2E89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Pr="00FC69FD">
        <w:rPr>
          <w:rFonts w:eastAsia="Calibri" w:cs="Calibri"/>
          <w:b/>
          <w:bCs/>
          <w:lang w:eastAsia="it-IT"/>
        </w:rPr>
        <w:t xml:space="preserve">? </w:t>
      </w:r>
    </w:p>
    <w:p w:rsidR="004241AC" w:rsidRPr="00FC69FD" w:rsidRDefault="004241AC" w:rsidP="00662695">
      <w:pPr>
        <w:spacing w:after="0" w:line="240" w:lineRule="auto"/>
        <w:jc w:val="both"/>
        <w:rPr>
          <w:rFonts w:cs="Arial"/>
        </w:rPr>
      </w:pPr>
      <w:r w:rsidRPr="00FC69FD">
        <w:rPr>
          <w:rFonts w:cs="Arial"/>
        </w:rPr>
        <w:t xml:space="preserve">Poiché </w:t>
      </w:r>
      <w:proofErr w:type="spellStart"/>
      <w:r w:rsidR="005E2E89">
        <w:rPr>
          <w:rFonts w:cs="Arial"/>
        </w:rPr>
        <w:t>Thiomed</w:t>
      </w:r>
      <w:proofErr w:type="spellEnd"/>
      <w:r w:rsidR="00062636" w:rsidRPr="00FC69FD">
        <w:rPr>
          <w:rFonts w:cs="Arial"/>
        </w:rPr>
        <w:t xml:space="preserve"> </w:t>
      </w:r>
      <w:r w:rsidR="00013020" w:rsidRPr="00FC69FD">
        <w:rPr>
          <w:rFonts w:cs="Arial"/>
        </w:rPr>
        <w:t>è un medicinale generico</w:t>
      </w:r>
      <w:r w:rsidR="004D13C9">
        <w:rPr>
          <w:rFonts w:cs="Arial"/>
        </w:rPr>
        <w:t xml:space="preserve"> ed è somministrato come soluzione iniettabile</w:t>
      </w:r>
      <w:r w:rsidRPr="00FC69FD">
        <w:rPr>
          <w:rFonts w:cs="Arial"/>
        </w:rPr>
        <w:t xml:space="preserve">, </w:t>
      </w:r>
      <w:r w:rsidR="004D13C9">
        <w:rPr>
          <w:rFonts w:cs="Arial"/>
        </w:rPr>
        <w:t xml:space="preserve">non </w:t>
      </w:r>
      <w:r w:rsidRPr="00FC69FD">
        <w:rPr>
          <w:rFonts w:cs="Arial"/>
        </w:rPr>
        <w:t xml:space="preserve">è stato </w:t>
      </w:r>
      <w:r w:rsidR="004D13C9">
        <w:rPr>
          <w:rFonts w:cs="Arial"/>
        </w:rPr>
        <w:t xml:space="preserve">necessario </w:t>
      </w:r>
      <w:r w:rsidRPr="00FC69FD">
        <w:rPr>
          <w:rFonts w:cs="Arial"/>
        </w:rPr>
        <w:t>effettuare</w:t>
      </w:r>
      <w:r w:rsidR="004D13C9">
        <w:rPr>
          <w:rFonts w:cs="Arial"/>
        </w:rPr>
        <w:t xml:space="preserve"> ulteriori</w:t>
      </w:r>
      <w:r w:rsidRPr="00FC69FD">
        <w:rPr>
          <w:rFonts w:cs="Arial"/>
        </w:rPr>
        <w:t xml:space="preserve"> prove cliniche. </w:t>
      </w: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5E2E89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Pr="00FC69FD">
        <w:rPr>
          <w:rFonts w:eastAsia="Calibri" w:cs="Calibri"/>
          <w:b/>
          <w:lang w:eastAsia="it-IT"/>
        </w:rPr>
        <w:t>?</w:t>
      </w:r>
      <w:r w:rsidRPr="00FC69FD">
        <w:rPr>
          <w:rFonts w:eastAsia="Calibri" w:cs="Calibri"/>
          <w:lang w:eastAsia="it-IT"/>
        </w:rPr>
        <w:t xml:space="preserve"> </w:t>
      </w:r>
    </w:p>
    <w:p w:rsidR="004241AC" w:rsidRPr="00FC69FD" w:rsidRDefault="005E2E89" w:rsidP="0066269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Thiomed</w:t>
      </w:r>
      <w:proofErr w:type="spellEnd"/>
      <w:r w:rsidR="009B03DB" w:rsidRPr="00FC69F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C69FD">
        <w:rPr>
          <w:rFonts w:eastAsia="Calibri" w:cs="Calibri"/>
          <w:lang w:eastAsia="it-IT"/>
        </w:rPr>
        <w:t xml:space="preserve">è un medicinale </w:t>
      </w:r>
      <w:r w:rsidR="00013020" w:rsidRPr="00FC69FD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C69FD">
        <w:rPr>
          <w:rFonts w:eastAsia="Calibri" w:cs="Calibri"/>
          <w:lang w:eastAsia="it-IT"/>
        </w:rPr>
        <w:t>bioequivale</w:t>
      </w:r>
      <w:r w:rsidR="009B03DB" w:rsidRPr="00FC69FD">
        <w:rPr>
          <w:rFonts w:eastAsia="Calibri" w:cs="Calibri"/>
          <w:lang w:eastAsia="it-IT"/>
        </w:rPr>
        <w:t>n</w:t>
      </w:r>
      <w:r w:rsidR="00013020" w:rsidRPr="00FC69FD">
        <w:rPr>
          <w:rFonts w:eastAsia="Calibri" w:cs="Calibri"/>
          <w:lang w:eastAsia="it-IT"/>
        </w:rPr>
        <w:t>te</w:t>
      </w:r>
      <w:proofErr w:type="spellEnd"/>
      <w:r w:rsidR="00013020" w:rsidRPr="00FC69FD">
        <w:rPr>
          <w:rFonts w:eastAsia="Calibri" w:cs="Calibri"/>
          <w:lang w:eastAsia="it-IT"/>
        </w:rPr>
        <w:t xml:space="preserve"> al medicinale di riferimento</w:t>
      </w:r>
      <w:r w:rsidR="00BA7D67" w:rsidRPr="00FC69FD">
        <w:rPr>
          <w:rFonts w:eastAsia="Calibri" w:cs="Calibri"/>
          <w:lang w:eastAsia="it-IT"/>
        </w:rPr>
        <w:t xml:space="preserve">; pertanto, </w:t>
      </w:r>
      <w:r w:rsidR="00013020" w:rsidRPr="00FC69FD">
        <w:rPr>
          <w:rFonts w:eastAsia="Calibri" w:cs="Calibri"/>
          <w:lang w:eastAsia="it-IT"/>
        </w:rPr>
        <w:t>i suoi</w:t>
      </w:r>
      <w:r w:rsidR="004241AC" w:rsidRPr="00FC69FD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C69FD">
        <w:rPr>
          <w:rFonts w:eastAsia="Calibri" w:cs="Calibri"/>
          <w:lang w:eastAsia="it-IT"/>
        </w:rPr>
        <w:t>l</w:t>
      </w:r>
      <w:r w:rsidR="004241AC" w:rsidRPr="00FC69FD">
        <w:rPr>
          <w:rFonts w:eastAsia="Calibri" w:cs="Calibri"/>
          <w:lang w:eastAsia="it-IT"/>
        </w:rPr>
        <w:t xml:space="preserve"> medicinal</w:t>
      </w:r>
      <w:r w:rsidR="00013020" w:rsidRPr="00FC69FD">
        <w:rPr>
          <w:rFonts w:eastAsia="Calibri" w:cs="Calibri"/>
          <w:lang w:eastAsia="it-IT"/>
        </w:rPr>
        <w:t>e</w:t>
      </w:r>
      <w:r w:rsidR="004241AC" w:rsidRPr="00FC69FD">
        <w:rPr>
          <w:rFonts w:eastAsia="Calibri" w:cs="Calibri"/>
          <w:lang w:eastAsia="it-IT"/>
        </w:rPr>
        <w:t xml:space="preserve"> di riferimento. </w:t>
      </w: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C69FD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E2E89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="009B03DB" w:rsidRPr="00FC69F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C69FD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6701D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69FD">
        <w:rPr>
          <w:rFonts w:eastAsia="Calibri" w:cs="Calibri"/>
          <w:lang w:eastAsia="it-IT"/>
        </w:rPr>
        <w:t>La Commissione Tecnico Scientifica (CTS</w:t>
      </w:r>
      <w:r w:rsidR="004D13C9">
        <w:rPr>
          <w:rFonts w:eastAsia="Calibri" w:cs="Calibri"/>
          <w:lang w:eastAsia="it-IT"/>
        </w:rPr>
        <w:t>)</w:t>
      </w:r>
      <w:r w:rsidR="005E2E89">
        <w:rPr>
          <w:rFonts w:eastAsia="Calibri" w:cs="Calibri"/>
          <w:lang w:eastAsia="it-IT"/>
        </w:rPr>
        <w:t>, nella riunione del 10-12 aprile 2013,</w:t>
      </w:r>
      <w:r w:rsidRPr="00FC69FD">
        <w:rPr>
          <w:rFonts w:eastAsia="Calibri" w:cs="Calibri"/>
          <w:lang w:eastAsia="it-IT"/>
        </w:rPr>
        <w:t xml:space="preserve"> ha concluso che, conformemente ai requisiti della normativa vigente, come nel caso </w:t>
      </w:r>
      <w:r w:rsidR="00D20170" w:rsidRPr="00FC69FD">
        <w:rPr>
          <w:rFonts w:eastAsia="Calibri" w:cs="Calibri"/>
          <w:lang w:eastAsia="it-IT"/>
        </w:rPr>
        <w:t>del</w:t>
      </w:r>
      <w:r w:rsidRPr="00FC69FD">
        <w:rPr>
          <w:rFonts w:eastAsia="Calibri" w:cs="Calibri"/>
          <w:lang w:eastAsia="it-IT"/>
        </w:rPr>
        <w:t xml:space="preserve"> medicinal</w:t>
      </w:r>
      <w:r w:rsidR="00D20170" w:rsidRPr="00FC69FD">
        <w:rPr>
          <w:rFonts w:eastAsia="Calibri" w:cs="Calibri"/>
          <w:lang w:eastAsia="it-IT"/>
        </w:rPr>
        <w:t>e</w:t>
      </w:r>
      <w:r w:rsidR="00214672">
        <w:rPr>
          <w:rFonts w:eastAsia="Calibri" w:cs="Calibri"/>
          <w:lang w:eastAsia="it-IT"/>
        </w:rPr>
        <w:t xml:space="preserve"> di riferimento</w:t>
      </w:r>
      <w:r w:rsidRPr="00FC69FD">
        <w:rPr>
          <w:rFonts w:eastAsia="Calibri" w:cs="Calibri"/>
          <w:lang w:eastAsia="it-IT"/>
        </w:rPr>
        <w:t xml:space="preserve"> </w:t>
      </w:r>
      <w:proofErr w:type="spellStart"/>
      <w:r w:rsidR="005E2E89">
        <w:rPr>
          <w:rFonts w:eastAsia="Calibri" w:cs="Calibri"/>
          <w:lang w:eastAsia="it-IT"/>
        </w:rPr>
        <w:t>Tationil</w:t>
      </w:r>
      <w:proofErr w:type="spellEnd"/>
      <w:r w:rsidRPr="00FC69FD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proofErr w:type="spellStart"/>
      <w:r w:rsidR="005E2E89">
        <w:rPr>
          <w:rFonts w:eastAsia="Calibri" w:cs="Calibri"/>
          <w:lang w:eastAsia="it-IT"/>
        </w:rPr>
        <w:t>Thiomed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424BF3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14672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5E2E89">
        <w:rPr>
          <w:rFonts w:eastAsia="Calibri" w:cs="Calibri"/>
          <w:lang w:eastAsia="it-IT"/>
        </w:rPr>
        <w:t>classe provvisoria Cnn</w:t>
      </w:r>
      <w:r w:rsidR="004D13C9">
        <w:rPr>
          <w:rFonts w:eastAsia="Calibri" w:cs="Calibri"/>
          <w:lang w:eastAsia="it-IT"/>
        </w:rPr>
        <w:t>)</w:t>
      </w:r>
      <w:r w:rsidRPr="0011250C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5E2E89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E2E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>) di Farmacovigilanza, il titolare dell’autorizzazione all’immissione in commercio (AIC) e l’Agenzia Italiana del Farmaco garantiscono gli interventi finalizzati ad identificare, caratterizzare, prevenire o minimizzare i rischi correlati</w:t>
      </w:r>
      <w:r w:rsidRPr="00D02E20">
        <w:rPr>
          <w:rFonts w:eastAsia="Calibri" w:cs="Calibri"/>
        </w:rPr>
        <w:t xml:space="preserve"> </w:t>
      </w:r>
      <w:r w:rsidR="004241AC" w:rsidRPr="002A3F14">
        <w:rPr>
          <w:rFonts w:eastAsia="Calibri" w:cs="Calibri"/>
          <w:lang w:eastAsia="it-IT"/>
        </w:rPr>
        <w:t xml:space="preserve">a </w:t>
      </w:r>
      <w:proofErr w:type="spellStart"/>
      <w:r>
        <w:rPr>
          <w:rFonts w:eastAsia="Calibri" w:cs="Calibri"/>
          <w:lang w:eastAsia="it-IT"/>
        </w:rPr>
        <w:t>Thiomed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5E2E89">
        <w:rPr>
          <w:rFonts w:eastAsia="Calibri" w:cs="Calibri"/>
          <w:b/>
          <w:bCs/>
          <w:color w:val="000000"/>
          <w:lang w:eastAsia="it-IT"/>
        </w:rPr>
        <w:t>Thiomed</w:t>
      </w:r>
      <w:proofErr w:type="spellEnd"/>
    </w:p>
    <w:p w:rsidR="004241AC" w:rsidRPr="00CA3A1E" w:rsidRDefault="005E2E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Il 2 marzo</w:t>
      </w:r>
      <w:r w:rsidR="004D13C9">
        <w:rPr>
          <w:rFonts w:eastAsia="Calibri" w:cs="Calibri"/>
          <w:bCs/>
          <w:iCs/>
          <w:lang w:eastAsia="it-IT"/>
        </w:rPr>
        <w:t xml:space="preserve"> 2014</w:t>
      </w:r>
      <w:r w:rsidR="00CF38AE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>l’AIFA ha rilasciato l’autorizzazione all’immissione in commercio</w:t>
      </w:r>
      <w:r w:rsidR="004D13C9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>
        <w:rPr>
          <w:rFonts w:eastAsia="Calibri" w:cs="Calibri"/>
          <w:bCs/>
          <w:color w:val="000000"/>
          <w:lang w:eastAsia="it-IT"/>
        </w:rPr>
        <w:t>Thiomed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C608F7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5E2E89">
        <w:rPr>
          <w:rFonts w:eastAsia="Calibri" w:cs="Calibri"/>
          <w:bCs/>
          <w:color w:val="000000"/>
          <w:lang w:eastAsia="it-IT"/>
        </w:rPr>
        <w:t>Thiomed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33792">
        <w:rPr>
          <w:rFonts w:eastAsia="Calibri" w:cs="Calibri"/>
          <w:lang w:eastAsia="it-IT"/>
        </w:rPr>
        <w:t>(</w:t>
      </w:r>
      <w:hyperlink r:id="rId6" w:history="1">
        <w:r w:rsidR="00533792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67216D">
        <w:rPr>
          <w:rFonts w:eastAsia="Calibri" w:cs="Calibri"/>
          <w:lang w:eastAsia="it-IT"/>
        </w:rPr>
        <w:t xml:space="preserve">in data </w:t>
      </w:r>
      <w:r w:rsidR="0067216D" w:rsidRPr="0067216D">
        <w:rPr>
          <w:rFonts w:eastAsia="Calibri" w:cs="Calibri"/>
          <w:lang w:eastAsia="it-IT"/>
        </w:rPr>
        <w:t>14</w:t>
      </w:r>
      <w:r w:rsidR="00B17693" w:rsidRPr="0067216D">
        <w:rPr>
          <w:rFonts w:eastAsia="Calibri" w:cs="Calibri"/>
          <w:lang w:eastAsia="it-IT"/>
        </w:rPr>
        <w:t>.12.2015</w:t>
      </w:r>
      <w:r w:rsidRPr="0067216D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sectPr w:rsidR="00DF4F6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80C71"/>
    <w:rsid w:val="001C477D"/>
    <w:rsid w:val="001E5BDA"/>
    <w:rsid w:val="001F5015"/>
    <w:rsid w:val="001F7A68"/>
    <w:rsid w:val="002122E2"/>
    <w:rsid w:val="00214672"/>
    <w:rsid w:val="00246D26"/>
    <w:rsid w:val="002F448E"/>
    <w:rsid w:val="003460D4"/>
    <w:rsid w:val="00352198"/>
    <w:rsid w:val="00356D1B"/>
    <w:rsid w:val="00384839"/>
    <w:rsid w:val="004241AC"/>
    <w:rsid w:val="00424BF3"/>
    <w:rsid w:val="00425F62"/>
    <w:rsid w:val="00444157"/>
    <w:rsid w:val="00452364"/>
    <w:rsid w:val="004A1685"/>
    <w:rsid w:val="004B20A8"/>
    <w:rsid w:val="004D13C9"/>
    <w:rsid w:val="00533792"/>
    <w:rsid w:val="005D48A1"/>
    <w:rsid w:val="005D4EA7"/>
    <w:rsid w:val="005E2E89"/>
    <w:rsid w:val="00641CF9"/>
    <w:rsid w:val="006621D3"/>
    <w:rsid w:val="00662695"/>
    <w:rsid w:val="006701D8"/>
    <w:rsid w:val="0067216D"/>
    <w:rsid w:val="006B2C91"/>
    <w:rsid w:val="006D0D14"/>
    <w:rsid w:val="007C5FB1"/>
    <w:rsid w:val="007F61CE"/>
    <w:rsid w:val="00804D68"/>
    <w:rsid w:val="00816525"/>
    <w:rsid w:val="00874733"/>
    <w:rsid w:val="00895F0D"/>
    <w:rsid w:val="008A28D0"/>
    <w:rsid w:val="008A4F11"/>
    <w:rsid w:val="008C2ED1"/>
    <w:rsid w:val="008F0439"/>
    <w:rsid w:val="009361B2"/>
    <w:rsid w:val="009375D1"/>
    <w:rsid w:val="00947492"/>
    <w:rsid w:val="00965735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17693"/>
    <w:rsid w:val="00B31E21"/>
    <w:rsid w:val="00B609C4"/>
    <w:rsid w:val="00B878ED"/>
    <w:rsid w:val="00BA7D67"/>
    <w:rsid w:val="00BB3E44"/>
    <w:rsid w:val="00BC38A5"/>
    <w:rsid w:val="00BC74C2"/>
    <w:rsid w:val="00BE5104"/>
    <w:rsid w:val="00BF4D4F"/>
    <w:rsid w:val="00C213BB"/>
    <w:rsid w:val="00C2173F"/>
    <w:rsid w:val="00C2355F"/>
    <w:rsid w:val="00C608F7"/>
    <w:rsid w:val="00C82DA8"/>
    <w:rsid w:val="00C97A20"/>
    <w:rsid w:val="00CA365D"/>
    <w:rsid w:val="00CC7AFF"/>
    <w:rsid w:val="00CD48EE"/>
    <w:rsid w:val="00CD62CF"/>
    <w:rsid w:val="00CD72F9"/>
    <w:rsid w:val="00CF337E"/>
    <w:rsid w:val="00CF38AE"/>
    <w:rsid w:val="00D06063"/>
    <w:rsid w:val="00D20170"/>
    <w:rsid w:val="00D21432"/>
    <w:rsid w:val="00D22DFC"/>
    <w:rsid w:val="00D23CA7"/>
    <w:rsid w:val="00DA7FA7"/>
    <w:rsid w:val="00DF4F68"/>
    <w:rsid w:val="00E17109"/>
    <w:rsid w:val="00E43089"/>
    <w:rsid w:val="00E4313B"/>
    <w:rsid w:val="00E52A18"/>
    <w:rsid w:val="00E83F8D"/>
    <w:rsid w:val="00E979CF"/>
    <w:rsid w:val="00EF062E"/>
    <w:rsid w:val="00F55A3B"/>
    <w:rsid w:val="00F60B8A"/>
    <w:rsid w:val="00F65638"/>
    <w:rsid w:val="00F66767"/>
    <w:rsid w:val="00F9699C"/>
    <w:rsid w:val="00FA2702"/>
    <w:rsid w:val="00FC69FD"/>
    <w:rsid w:val="00FD3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5E2E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49</cp:revision>
  <cp:lastPrinted>2015-06-17T15:18:00Z</cp:lastPrinted>
  <dcterms:created xsi:type="dcterms:W3CDTF">2015-06-12T07:06:00Z</dcterms:created>
  <dcterms:modified xsi:type="dcterms:W3CDTF">2015-12-15T10:55:00Z</dcterms:modified>
</cp:coreProperties>
</file>